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C6E5B" w14:textId="77777777" w:rsidR="004D76CA" w:rsidRDefault="004D76CA" w:rsidP="00A653F2">
      <w:pPr>
        <w:spacing w:before="330" w:line="271" w:lineRule="auto"/>
        <w:rPr>
          <w:b/>
          <w:sz w:val="42"/>
        </w:rPr>
      </w:pPr>
      <w:bookmarkStart w:id="24" w:name="b_in_depth_explanation_analysis_3"/>
      <w:r w:rsidRPr="00A653F2">
        <w:rPr>
          <w:b/>
          <w:sz w:val="42"/>
        </w:rPr>
        <w:t>B. In-Depth Explanation &amp; Analysis</w:t>
      </w:r>
      <w:bookmarkEnd w:id="24"/>
    </w:p>
    <w:p w14:paraId="09EF4C9A" w14:textId="77777777" w:rsidR="00B97880" w:rsidRPr="005037E8" w:rsidRDefault="00B97880">
      <w:pPr>
        <w:numPr>
          <w:ilvl w:val="0"/>
          <w:numId w:val="49"/>
        </w:numPr>
        <w:spacing w:after="120" w:line="240" w:lineRule="atLeast"/>
        <w:rPr>
          <w:b/>
          <w:bCs/>
        </w:rPr>
      </w:pPr>
      <w:r w:rsidRPr="005037E8">
        <w:rPr>
          <w:b/>
          <w:bCs/>
        </w:rPr>
        <w:t>VSEPR Theory &amp; Hybridization This is the most common area for mistakes.</w:t>
      </w:r>
    </w:p>
    <w:p w14:paraId="53CAE5FF" w14:textId="77777777" w:rsidR="00B97880" w:rsidRDefault="00B97880">
      <w:pPr>
        <w:pStyle w:val="ListParagraph"/>
        <w:numPr>
          <w:ilvl w:val="0"/>
          <w:numId w:val="50"/>
        </w:numPr>
        <w:spacing w:after="120" w:line="240" w:lineRule="atLeast"/>
      </w:pPr>
      <w:r>
        <w:t>Geometry vs. Shape:</w:t>
      </w:r>
    </w:p>
    <w:p w14:paraId="684EF656" w14:textId="16C670CF" w:rsidR="00A10EC8" w:rsidRPr="00A10EC8" w:rsidRDefault="00A10EC8">
      <w:pPr>
        <w:numPr>
          <w:ilvl w:val="1"/>
          <w:numId w:val="50"/>
        </w:numPr>
        <w:spacing w:after="120" w:line="240" w:lineRule="atLeast"/>
        <w:rPr>
          <w:lang w:val="en-US"/>
        </w:rPr>
      </w:pPr>
      <w:r w:rsidRPr="00A10EC8">
        <w:rPr>
          <w:lang w:val="en-US"/>
        </w:rPr>
        <w:t>Geometry (Electron Geometry): Includes all electron pairs (bonds + lone pairs).</w:t>
      </w:r>
    </w:p>
    <w:p w14:paraId="0121F97E" w14:textId="1263B7CC" w:rsidR="00A10EC8" w:rsidRPr="00A10EC8" w:rsidRDefault="00A10EC8">
      <w:pPr>
        <w:numPr>
          <w:ilvl w:val="1"/>
          <w:numId w:val="50"/>
        </w:numPr>
        <w:spacing w:after="120" w:line="240" w:lineRule="atLeast"/>
        <w:rPr>
          <w:lang w:val="en-US"/>
        </w:rPr>
      </w:pPr>
      <w:r w:rsidRPr="00A10EC8">
        <w:rPr>
          <w:lang w:val="en-US"/>
        </w:rPr>
        <w:t>Shape (Molecular Geometry): Look only at the atoms (ignore lone pairs visually, but acknowledge their repulsion).</w:t>
      </w:r>
    </w:p>
    <w:p w14:paraId="5E88F6BC" w14:textId="77777777" w:rsidR="007B28FB" w:rsidRDefault="00A10EC8">
      <w:pPr>
        <w:numPr>
          <w:ilvl w:val="1"/>
          <w:numId w:val="50"/>
        </w:numPr>
        <w:spacing w:after="120" w:line="240" w:lineRule="atLeast"/>
        <w:rPr>
          <w:lang w:val="en-US"/>
        </w:rPr>
      </w:pPr>
      <w:r>
        <w:lastRenderedPageBreak/>
        <w:t>Ex</w:t>
      </w:r>
      <w:r w:rsidRPr="00A10EC8">
        <w:rPr>
          <w:lang w:val="en-US"/>
        </w:rPr>
        <w:t xml:space="preserve">ample: Ammonia </w:t>
      </w:r>
      <m:oMath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NH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3</m:t>
                </m:r>
              </m:sub>
            </m:sSub>
          </m:e>
        </m:d>
      </m:oMath>
      <w:r w:rsidRPr="00A10EC8">
        <w:rPr>
          <w:lang w:val="en-US"/>
        </w:rPr>
        <w:t xml:space="preserve">. Geometry </w:t>
      </w:r>
      <m:oMath>
        <m:r>
          <m:rPr>
            <m:sty m:val="p"/>
          </m:rPr>
          <w:rPr>
            <w:rFonts w:ascii="Cambria Math" w:hAnsi="Cambria Math"/>
            <w:lang w:val="en-US"/>
          </w:rPr>
          <m:t>=</m:t>
        </m:r>
      </m:oMath>
      <w:r w:rsidRPr="00A10EC8">
        <w:rPr>
          <w:lang w:val="en-US"/>
        </w:rPr>
        <w:t xml:space="preserve"> Tetrahedral </w:t>
      </w:r>
      <m:oMath>
        <m:r>
          <m:rPr>
            <m:sty m:val="p"/>
          </m:rPr>
          <w:rPr>
            <w:rFonts w:ascii="Cambria Math" w:hAnsi="Cambria Math"/>
            <w:lang w:val="en-US"/>
          </w:rPr>
          <m:t>(4</m:t>
        </m:r>
      </m:oMath>
      <w:r w:rsidRPr="00A10EC8">
        <w:rPr>
          <w:lang w:val="en-US"/>
        </w:rPr>
        <w:t xml:space="preserve"> electron pairs </w:t>
      </w:r>
      <m:oMath>
        <m:r>
          <m:rPr>
            <m:sty m:val="p"/>
          </m:rPr>
          <w:rPr>
            <w:rFonts w:ascii="Cambria Math" w:hAnsi="Cambria Math"/>
            <w:lang w:val="en-US"/>
          </w:rPr>
          <m:t>)</m:t>
        </m:r>
      </m:oMath>
      <w:r w:rsidRPr="00A10EC8">
        <w:rPr>
          <w:lang w:val="en-US"/>
        </w:rPr>
        <w:t xml:space="preserve">. Shape </w:t>
      </w:r>
      <m:oMath>
        <m:r>
          <m:rPr>
            <m:sty m:val="p"/>
          </m:rPr>
          <w:rPr>
            <w:rFonts w:ascii="Cambria Math" w:hAnsi="Cambria Math"/>
            <w:lang w:val="en-US"/>
          </w:rPr>
          <m:t>=</m:t>
        </m:r>
      </m:oMath>
      <w:r w:rsidRPr="00A10EC8">
        <w:rPr>
          <w:lang w:val="en-US"/>
        </w:rPr>
        <w:t xml:space="preserve"> Trigonal</w:t>
      </w:r>
      <w:r w:rsidR="00581A55">
        <w:rPr>
          <w:lang w:val="en-US"/>
        </w:rPr>
        <w:t xml:space="preserve"> </w:t>
      </w:r>
      <w:r w:rsidR="00B97880">
        <w:t>Pyramidal (one position is a "ghost" lone pair).</w:t>
      </w:r>
    </w:p>
    <w:p w14:paraId="757A8BE8" w14:textId="77777777" w:rsidR="007B28FB" w:rsidRPr="007B28FB" w:rsidRDefault="00B97880">
      <w:pPr>
        <w:pStyle w:val="ListParagraph"/>
        <w:numPr>
          <w:ilvl w:val="0"/>
          <w:numId w:val="50"/>
        </w:numPr>
        <w:spacing w:after="120" w:line="240" w:lineRule="atLeast"/>
        <w:rPr>
          <w:lang w:val="en-US"/>
        </w:rPr>
      </w:pPr>
      <w:r>
        <w:t>Hybridization Trick: Count Sigma bonds + Lone Pairs.</w:t>
      </w:r>
    </w:p>
    <w:p w14:paraId="4E03984A" w14:textId="77777777" w:rsidR="007B28FB" w:rsidRPr="007B28FB" w:rsidRDefault="00B97880">
      <w:pPr>
        <w:pStyle w:val="ListParagraph"/>
        <w:numPr>
          <w:ilvl w:val="0"/>
          <w:numId w:val="51"/>
        </w:numPr>
        <w:spacing w:after="120" w:line="240" w:lineRule="atLeast"/>
        <w:rPr>
          <w:lang w:val="en-US"/>
        </w:rPr>
      </w:pPr>
      <w:r>
        <w:t xml:space="preserve">Sum </w:t>
      </w:r>
      <m:oMath>
        <m:r>
          <m:rPr>
            <m:sty m:val="p"/>
          </m:rPr>
          <w:rPr>
            <w:rFonts w:ascii="Cambria Math" w:hAnsi="Cambria Math"/>
          </w:rPr>
          <m:t>=2</m:t>
        </m:r>
      </m:oMath>
      <w:r>
        <w:t xml:space="preserve"> (sp, linear)</w:t>
      </w:r>
    </w:p>
    <w:p w14:paraId="21B44E64" w14:textId="77777777" w:rsidR="007B28FB" w:rsidRPr="007B28FB" w:rsidRDefault="00B97880">
      <w:pPr>
        <w:pStyle w:val="ListParagraph"/>
        <w:numPr>
          <w:ilvl w:val="0"/>
          <w:numId w:val="51"/>
        </w:numPr>
        <w:spacing w:after="120" w:line="240" w:lineRule="atLeast"/>
        <w:rPr>
          <w:rFonts w:eastAsiaTheme="minorEastAsia"/>
          <w:lang w:val="en-US"/>
        </w:rPr>
      </w:pPr>
      <w:r>
        <w:t xml:space="preserve">Sum </w:t>
      </w:r>
      <m:oMath>
        <m:r>
          <m:rPr>
            <m:sty m:val="p"/>
          </m:rPr>
          <w:rPr>
            <w:rFonts w:ascii="Cambria Math" w:hAnsi="Cambria Math"/>
          </w:rPr>
          <m:t>=3</m:t>
        </m:r>
        <m:d>
          <m:dPr>
            <m:endChr m:val="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t xml:space="preserve">, trigonal planar </w:t>
      </w:r>
      <m:oMath>
        <m:r>
          <m:rPr>
            <m:sty m:val="p"/>
          </m:rPr>
          <w:rPr>
            <w:rFonts w:ascii="Cambria Math" w:hAnsi="Cambria Math"/>
          </w:rPr>
          <m:t>)</m:t>
        </m:r>
      </m:oMath>
    </w:p>
    <w:p w14:paraId="1C16A826" w14:textId="77777777" w:rsidR="007B28FB" w:rsidRPr="007B28FB" w:rsidRDefault="00B97880">
      <w:pPr>
        <w:pStyle w:val="ListParagraph"/>
        <w:numPr>
          <w:ilvl w:val="0"/>
          <w:numId w:val="51"/>
        </w:numPr>
        <w:spacing w:after="120" w:line="240" w:lineRule="atLeast"/>
        <w:rPr>
          <w:rFonts w:eastAsiaTheme="minorEastAsia"/>
          <w:lang w:val="en-US"/>
        </w:rPr>
      </w:pPr>
      <w:r>
        <w:t xml:space="preserve">Sum </w:t>
      </w:r>
      <m:oMath>
        <m:r>
          <m:rPr>
            <m:sty m:val="p"/>
          </m:rPr>
          <w:rPr>
            <w:rFonts w:ascii="Cambria Math" w:hAnsi="Cambria Math"/>
          </w:rPr>
          <m:t>=4</m:t>
        </m:r>
        <m:d>
          <m:dPr>
            <m:endChr m:val="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  <w:r>
        <w:t>, tetrahedral)</w:t>
      </w:r>
    </w:p>
    <w:p w14:paraId="59623972" w14:textId="77777777" w:rsidR="00F11B5D" w:rsidRPr="00F11B5D" w:rsidRDefault="00B97880">
      <w:pPr>
        <w:pStyle w:val="ListParagraph"/>
        <w:numPr>
          <w:ilvl w:val="0"/>
          <w:numId w:val="51"/>
        </w:numPr>
        <w:spacing w:after="120" w:line="240" w:lineRule="atLeast"/>
        <w:rPr>
          <w:rFonts w:eastAsiaTheme="minorEastAsia"/>
          <w:lang w:val="en-US"/>
        </w:rPr>
      </w:pPr>
      <w:r>
        <w:t xml:space="preserve">Sum </w:t>
      </w:r>
      <m:oMath>
        <m:r>
          <m:rPr>
            <m:sty m:val="p"/>
          </m:rPr>
          <w:rPr>
            <w:rFonts w:ascii="Cambria Math" w:hAnsi="Cambria Math"/>
          </w:rPr>
          <m:t>=5</m:t>
        </m:r>
        <m:d>
          <m:dPr>
            <m:endChr m:val="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d</m:t>
            </m:r>
          </m:e>
        </m:d>
      </m:oMath>
      <w:r>
        <w:t>, trigonal bipyramidal)</w:t>
      </w:r>
    </w:p>
    <w:p w14:paraId="3AA0B547" w14:textId="56000239" w:rsidR="003B56EB" w:rsidRPr="00A6491F" w:rsidRDefault="00B97880">
      <w:pPr>
        <w:pStyle w:val="ListParagraph"/>
        <w:numPr>
          <w:ilvl w:val="0"/>
          <w:numId w:val="51"/>
        </w:numPr>
        <w:spacing w:after="120" w:line="240" w:lineRule="atLeast"/>
        <w:rPr>
          <w:rFonts w:eastAsiaTheme="minorEastAsia"/>
          <w:lang w:val="en-US"/>
        </w:rPr>
      </w:pPr>
      <w:r>
        <w:t xml:space="preserve">Sum </w:t>
      </w:r>
      <m:oMath>
        <m:r>
          <m:rPr>
            <m:sty m:val="p"/>
          </m:rPr>
          <w:rPr>
            <w:rFonts w:ascii="Cambria Math" w:hAnsi="Cambria Math"/>
          </w:rPr>
          <m:t>=6</m:t>
        </m:r>
        <m:d>
          <m:dPr>
            <m:endChr m:val="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t>, octahedral)</w:t>
      </w:r>
    </w:p>
    <w:p w14:paraId="6477F2B5" w14:textId="093BEF48" w:rsidR="00A6491F" w:rsidRPr="00A6491F" w:rsidRDefault="00A6491F" w:rsidP="00A6491F">
      <w:pPr>
        <w:spacing w:after="120" w:line="240" w:lineRule="atLeas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</w:t>
      </w:r>
      <w:r w:rsidRPr="00A6491F">
        <w:rPr>
          <w:rFonts w:eastAsiaTheme="minorEastAsia"/>
          <w:b/>
          <w:bCs/>
          <w:highlight w:val="green"/>
          <w:lang w:val="en-US"/>
        </w:rPr>
        <w:t>Mentor insight:</w:t>
      </w:r>
      <w:r w:rsidRPr="00A6491F">
        <w:rPr>
          <w:rFonts w:eastAsiaTheme="minorEastAsia"/>
          <w:highlight w:val="green"/>
          <w:lang w:val="en-US"/>
        </w:rPr>
        <w:t xml:space="preserve"> Learning where to draw and place lone pairs in a bond diagram is crucial to figure out the shape of the molecule.</w:t>
      </w:r>
    </w:p>
    <w:p w14:paraId="382B8079" w14:textId="5AF143FD" w:rsidR="00327E1C" w:rsidRDefault="00A803F2" w:rsidP="00B64E78">
      <w:pPr>
        <w:spacing w:after="120" w:line="240" w:lineRule="atLeast"/>
        <w:rPr>
          <w:rFonts w:eastAsiaTheme="minorEastAsia"/>
          <w:lang w:val="en-US"/>
        </w:rPr>
      </w:pPr>
      <w:r>
        <w:rPr>
          <w:noProof/>
        </w:rPr>
        <w:lastRenderedPageBreak/>
        <w:drawing>
          <wp:inline distT="0" distB="0" distL="0" distR="0" wp14:anchorId="78023A08" wp14:editId="3DEF5618">
            <wp:extent cx="5715635" cy="8863330"/>
            <wp:effectExtent l="0" t="0" r="0" b="0"/>
            <wp:docPr id="3989988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6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BE71A" w14:textId="60874C05" w:rsidR="003625DC" w:rsidRPr="003625DC" w:rsidRDefault="003625DC" w:rsidP="003625DC">
      <w:pPr>
        <w:spacing w:after="120" w:line="240" w:lineRule="atLeast"/>
        <w:rPr>
          <w:rFonts w:eastAsiaTheme="minorEastAsia"/>
          <w:b/>
          <w:lang w:val="en-US"/>
        </w:rPr>
      </w:pPr>
      <w:bookmarkStart w:id="25" w:name="bm_2_sigma_sigma_vs_pi_pi_bonds"/>
      <w:r w:rsidRPr="003625DC">
        <w:rPr>
          <w:rFonts w:eastAsiaTheme="minorEastAsia"/>
          <w:b/>
          <w:lang w:val="en-US"/>
        </w:rPr>
        <w:lastRenderedPageBreak/>
        <w:t xml:space="preserve">2. Sigma ( </w:t>
      </w:r>
      <m:oMath>
        <m:r>
          <m:rPr>
            <m:sty m:val="bi"/>
          </m:rPr>
          <w:rPr>
            <w:rFonts w:ascii="Cambria Math" w:eastAsiaTheme="minorEastAsia" w:hAnsi="Cambria Math"/>
            <w:lang w:val="en-US"/>
          </w:rPr>
          <m:t>σ</m:t>
        </m:r>
      </m:oMath>
      <w:r w:rsidRPr="003625DC">
        <w:rPr>
          <w:rFonts w:eastAsiaTheme="minorEastAsia"/>
          <w:b/>
          <w:lang w:val="en-US"/>
        </w:rPr>
        <w:t xml:space="preserve"> ) vs. Pi ( </w:t>
      </w:r>
      <m:oMath>
        <m:r>
          <m:rPr>
            <m:sty m:val="bi"/>
          </m:rPr>
          <w:rPr>
            <w:rFonts w:ascii="Cambria Math" w:eastAsiaTheme="minorEastAsia" w:hAnsi="Cambria Math"/>
            <w:lang w:val="en-US"/>
          </w:rPr>
          <m:t>π</m:t>
        </m:r>
      </m:oMath>
      <w:r w:rsidRPr="003625DC">
        <w:rPr>
          <w:rFonts w:eastAsiaTheme="minorEastAsia"/>
          <w:b/>
          <w:lang w:val="en-US"/>
        </w:rPr>
        <w:t xml:space="preserve"> ) Bonds</w:t>
      </w:r>
      <w:bookmarkEnd w:id="25"/>
    </w:p>
    <w:p w14:paraId="5A6DC542" w14:textId="77777777" w:rsidR="003625DC" w:rsidRPr="003625DC" w:rsidRDefault="003625DC">
      <w:pPr>
        <w:numPr>
          <w:ilvl w:val="0"/>
          <w:numId w:val="52"/>
        </w:numPr>
        <w:spacing w:after="120" w:line="240" w:lineRule="atLeast"/>
        <w:rPr>
          <w:rFonts w:eastAsiaTheme="minorEastAsia"/>
          <w:lang w:val="en-US"/>
        </w:rPr>
      </w:pPr>
      <w:r w:rsidRPr="003625DC">
        <w:rPr>
          <w:rFonts w:eastAsiaTheme="minorEastAsia"/>
          <w:b/>
          <w:bCs/>
          <w:lang w:val="en-US"/>
        </w:rPr>
        <w:t>Sigma:</w:t>
      </w:r>
      <w:r w:rsidRPr="003625DC">
        <w:rPr>
          <w:rFonts w:eastAsiaTheme="minorEastAsia"/>
          <w:lang w:val="en-US"/>
        </w:rPr>
        <w:t xml:space="preserve"> Head-on overlap. Stronger. Free rotation allowed.</w:t>
      </w:r>
    </w:p>
    <w:p w14:paraId="403555A2" w14:textId="77777777" w:rsidR="003625DC" w:rsidRPr="003625DC" w:rsidRDefault="003625DC">
      <w:pPr>
        <w:numPr>
          <w:ilvl w:val="0"/>
          <w:numId w:val="52"/>
        </w:numPr>
        <w:spacing w:after="120" w:line="240" w:lineRule="atLeast"/>
        <w:rPr>
          <w:rFonts w:eastAsiaTheme="minorEastAsia"/>
          <w:lang w:val="en-US"/>
        </w:rPr>
      </w:pPr>
      <w:r w:rsidRPr="003625DC">
        <w:rPr>
          <w:rFonts w:eastAsiaTheme="minorEastAsia"/>
          <w:b/>
          <w:bCs/>
          <w:lang w:val="en-US"/>
        </w:rPr>
        <w:t>Pi:</w:t>
      </w:r>
      <w:r w:rsidRPr="003625DC">
        <w:rPr>
          <w:rFonts w:eastAsiaTheme="minorEastAsia"/>
          <w:lang w:val="en-US"/>
        </w:rPr>
        <w:t xml:space="preserve"> Sideways overlap. Weaker. No rotation (locks geometry).</w:t>
      </w:r>
    </w:p>
    <w:p w14:paraId="08B60652" w14:textId="388FF2D3" w:rsidR="003B5039" w:rsidRDefault="003625DC">
      <w:pPr>
        <w:numPr>
          <w:ilvl w:val="0"/>
          <w:numId w:val="52"/>
        </w:numPr>
        <w:spacing w:after="120" w:line="240" w:lineRule="atLeast"/>
        <w:rPr>
          <w:rFonts w:eastAsiaTheme="minorEastAsia"/>
          <w:lang w:val="en-US"/>
        </w:rPr>
      </w:pPr>
      <w:r w:rsidRPr="003625DC">
        <w:rPr>
          <w:rFonts w:eastAsiaTheme="minorEastAsia"/>
          <w:b/>
          <w:bCs/>
          <w:lang w:val="en-US"/>
        </w:rPr>
        <w:t>Note:</w:t>
      </w:r>
      <w:r w:rsidRPr="003625DC">
        <w:rPr>
          <w:rFonts w:eastAsiaTheme="minorEastAsia"/>
          <w:lang w:val="en-US"/>
        </w:rPr>
        <w:t xml:space="preserve"> A single bond is always </w:t>
      </w:r>
      <m:oMath>
        <m:r>
          <w:rPr>
            <w:rFonts w:ascii="Cambria Math" w:eastAsiaTheme="minorEastAsia" w:hAnsi="Cambria Math"/>
            <w:lang w:val="en-US"/>
          </w:rPr>
          <m:t>σ</m:t>
        </m:r>
      </m:oMath>
      <w:r w:rsidRPr="003625DC">
        <w:rPr>
          <w:rFonts w:eastAsiaTheme="minorEastAsia"/>
          <w:lang w:val="en-US"/>
        </w:rPr>
        <w:t xml:space="preserve">. A double bond is </w:t>
      </w:r>
      <m:oMath>
        <m:r>
          <m:rPr>
            <m:sty m:val="p"/>
          </m:rPr>
          <w:rPr>
            <w:rFonts w:ascii="Cambria Math" w:eastAsiaTheme="minorEastAsia" w:hAnsi="Cambria Math"/>
            <w:lang w:val="en-US"/>
          </w:rPr>
          <m:t>1</m:t>
        </m:r>
        <m:r>
          <w:rPr>
            <w:rFonts w:ascii="Cambria Math" w:eastAsiaTheme="minorEastAsia" w:hAnsi="Cambria Math"/>
            <w:lang w:val="en-US"/>
          </w:rPr>
          <m:t>σ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+1</m:t>
        </m:r>
        <m:r>
          <w:rPr>
            <w:rFonts w:ascii="Cambria Math" w:eastAsiaTheme="minorEastAsia" w:hAnsi="Cambria Math"/>
            <w:lang w:val="en-US"/>
          </w:rPr>
          <m:t>π</m:t>
        </m:r>
      </m:oMath>
      <w:r w:rsidRPr="003625DC">
        <w:rPr>
          <w:rFonts w:eastAsiaTheme="minorEastAsia"/>
          <w:lang w:val="en-US"/>
        </w:rPr>
        <w:t xml:space="preserve">. A triple bond is </w:t>
      </w:r>
      <m:oMath>
        <m:r>
          <m:rPr>
            <m:sty m:val="p"/>
          </m:rPr>
          <w:rPr>
            <w:rFonts w:ascii="Cambria Math" w:eastAsiaTheme="minorEastAsia" w:hAnsi="Cambria Math"/>
            <w:lang w:val="en-US"/>
          </w:rPr>
          <m:t>1</m:t>
        </m:r>
        <m:r>
          <w:rPr>
            <w:rFonts w:ascii="Cambria Math" w:eastAsiaTheme="minorEastAsia" w:hAnsi="Cambria Math"/>
            <w:lang w:val="en-US"/>
          </w:rPr>
          <m:t>σ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+2</m:t>
        </m:r>
        <m:r>
          <w:rPr>
            <w:rFonts w:ascii="Cambria Math" w:eastAsiaTheme="minorEastAsia" w:hAnsi="Cambria Math"/>
            <w:lang w:val="en-US"/>
          </w:rPr>
          <m:t>π</m:t>
        </m:r>
      </m:oMath>
      <w:r w:rsidRPr="003625DC">
        <w:rPr>
          <w:rFonts w:eastAsiaTheme="minorEastAsia"/>
          <w:lang w:val="en-US"/>
        </w:rPr>
        <w:t>.</w:t>
      </w:r>
    </w:p>
    <w:p w14:paraId="71B00284" w14:textId="03B9735D" w:rsidR="00A5170D" w:rsidRDefault="00484925" w:rsidP="00484925">
      <w:pPr>
        <w:spacing w:after="120" w:line="240" w:lineRule="atLeast"/>
        <w:rPr>
          <w:rFonts w:eastAsiaTheme="minorEastAsia"/>
          <w:b/>
          <w:bCs/>
          <w:lang w:val="en-US"/>
        </w:rPr>
      </w:pPr>
      <w:r w:rsidRPr="00484925">
        <w:rPr>
          <w:rFonts w:eastAsiaTheme="minorEastAsia"/>
          <w:b/>
          <w:bCs/>
          <w:lang w:val="en-US"/>
        </w:rPr>
        <w:t>3. Molecular Orbital Theory (MOT)</w:t>
      </w:r>
    </w:p>
    <w:p w14:paraId="3D39632B" w14:textId="77777777" w:rsidR="00484925" w:rsidRDefault="00484925">
      <w:pPr>
        <w:numPr>
          <w:ilvl w:val="0"/>
          <w:numId w:val="53"/>
        </w:numPr>
        <w:spacing w:after="120" w:line="240" w:lineRule="atLeast"/>
      </w:pPr>
      <w:r>
        <w:t xml:space="preserve">This theory constructs new orbitals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σ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π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</m:sup>
            </m:sSup>
          </m:e>
        </m:d>
      </m:oMath>
      <w:r>
        <w:t xml:space="preserve"> by Linear Combination of Atomic Orbitals (LCAO).</w:t>
      </w:r>
    </w:p>
    <w:p w14:paraId="5D9E4B13" w14:textId="77777777" w:rsidR="00484925" w:rsidRDefault="00484925">
      <w:pPr>
        <w:numPr>
          <w:ilvl w:val="0"/>
          <w:numId w:val="53"/>
        </w:numPr>
        <w:spacing w:after="120" w:line="240" w:lineRule="atLeast"/>
      </w:pPr>
      <w:r>
        <w:t xml:space="preserve">Bond Order: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e>
        </m:d>
      </m:oMath>
      <w:r>
        <w:t>.</w:t>
      </w:r>
    </w:p>
    <w:p w14:paraId="1CB30BAB" w14:textId="77777777" w:rsidR="00484925" w:rsidRDefault="00484925">
      <w:pPr>
        <w:numPr>
          <w:ilvl w:val="0"/>
          <w:numId w:val="53"/>
        </w:numPr>
        <w:spacing w:after="120" w:line="240" w:lineRule="atLeast"/>
      </w:pPr>
      <w:r>
        <w:t xml:space="preserve">If Bond Order </w:t>
      </w:r>
      <m:oMath>
        <m:r>
          <m:rPr>
            <m:sty m:val="b"/>
          </m:rPr>
          <w:rPr>
            <w:rFonts w:ascii="Cambria Math" w:hAnsi="Cambria Math"/>
          </w:rPr>
          <m:t>&gt;0</m:t>
        </m:r>
      </m:oMath>
      <w:r>
        <w:t>, molecule exists.</w:t>
      </w:r>
    </w:p>
    <w:p w14:paraId="1BD36AF3" w14:textId="77777777" w:rsidR="00484925" w:rsidRDefault="00484925">
      <w:pPr>
        <w:numPr>
          <w:ilvl w:val="0"/>
          <w:numId w:val="53"/>
        </w:numPr>
        <w:spacing w:after="120" w:line="240" w:lineRule="atLeast"/>
      </w:pPr>
      <w:r>
        <w:t>Higher Bond Order = Stronger bond = Shorter bond length.</w:t>
      </w:r>
    </w:p>
    <w:p w14:paraId="0AA0C7B7" w14:textId="73CB792E" w:rsidR="00484925" w:rsidRPr="007D2FC7" w:rsidRDefault="00484925">
      <w:pPr>
        <w:numPr>
          <w:ilvl w:val="0"/>
          <w:numId w:val="53"/>
        </w:numPr>
        <w:spacing w:after="120" w:line="240" w:lineRule="atLeast"/>
        <w:rPr>
          <w:rFonts w:cstheme="minorHAnsi"/>
        </w:rPr>
      </w:pPr>
      <w:r w:rsidRPr="00CC4BCD">
        <w:rPr>
          <w:rFonts w:eastAsia="Georgia" w:cstheme="minorHAnsi"/>
        </w:rPr>
        <w:t xml:space="preserve">Magnetic Nature: If unpaired electrons are present in MO diagram → Paramagnetic. If all paired </w:t>
      </w:r>
      <w:r w:rsidRPr="00CC4BCD">
        <w:rPr>
          <w:rFonts w:ascii="Cambria Math" w:eastAsia="Georgia" w:hAnsi="Cambria Math" w:cs="Cambria Math"/>
        </w:rPr>
        <w:t>⟶</w:t>
      </w:r>
      <w:r w:rsidRPr="00CC4BCD">
        <w:rPr>
          <w:rFonts w:eastAsia="Georgia" w:cstheme="minorHAnsi"/>
        </w:rPr>
        <w:t xml:space="preserve"> Diamagnetic.</w:t>
      </w:r>
    </w:p>
    <w:p w14:paraId="7198C487" w14:textId="2240E885" w:rsidR="007D2FC7" w:rsidRPr="00CC4BCD" w:rsidRDefault="007D2FC7" w:rsidP="007D2FC7">
      <w:pPr>
        <w:spacing w:after="120" w:line="240" w:lineRule="atLeast"/>
        <w:ind w:left="360"/>
        <w:rPr>
          <w:rFonts w:cstheme="minorHAnsi"/>
        </w:rPr>
      </w:pPr>
      <w:r w:rsidRPr="007D2FC7">
        <w:rPr>
          <w:rFonts w:eastAsia="Georgia" w:cstheme="minorHAnsi"/>
          <w:b/>
          <w:bCs/>
          <w:highlight w:val="green"/>
        </w:rPr>
        <w:t>Mentor insight:</w:t>
      </w:r>
      <w:r w:rsidRPr="007D2FC7">
        <w:rPr>
          <w:rFonts w:eastAsia="Georgia" w:cstheme="minorHAnsi"/>
          <w:highlight w:val="green"/>
        </w:rPr>
        <w:t xml:space="preserve"> MOT commonly appears as a 5 marker.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