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06BB" w14:textId="77777777" w:rsidR="00FD6EDD" w:rsidRDefault="00FD6EDD" w:rsidP="00FD6EDD">
      <w:pPr>
        <w:spacing w:before="330" w:line="271" w:lineRule="auto"/>
      </w:pPr>
      <w:bookmarkStart w:id="124" w:name="d_key_terms_and_keywords_12"/>
      <w:r>
        <w:rPr>
          <w:b/>
          <w:sz w:val="42"/>
        </w:rPr>
        <w:t>D. Key Terms and Keywords</w:t>
      </w:r>
      <w:bookmarkEnd w:id="124"/>
    </w:p>
    <w:p w14:paraId="4680F87E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>Transition Elements: Elements with partially filled d-orbitals in ground state or stable oxidation states.</w:t>
      </w:r>
    </w:p>
    <w:p w14:paraId="5CC9DB54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>Lanthanoid Contraction: The cumulative decrease in atomic/ionic radii of Lanthanoids due to poor shielding of 4 f electrons.</w:t>
      </w:r>
    </w:p>
    <w:p w14:paraId="46F01263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>Interstitial Compounds: Non-stoichiometric compounds formed by trapping small atoms like H, C, N in metal lattices. They are hard and inert.</w:t>
      </w:r>
    </w:p>
    <w:p w14:paraId="02FE36E3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 xml:space="preserve">Disproportionation: When a particular oxidation state becomes less stable relative to other oxidation states, one lower and one higher. E.g., </w:t>
      </w:r>
      <m:oMath>
        <m:r>
          <m:rPr>
            <m:sty m:val="p"/>
          </m:rPr>
          <w:rPr>
            <w:rFonts w:ascii="Cambria Math" w:hAnsi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2-</m:t>
            </m:r>
          </m:sup>
        </m:sSubSup>
        <m:r>
          <m:rPr>
            <m:sty m:val="p"/>
          </m:rP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→2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>.</w:t>
      </w:r>
    </w:p>
    <w:p w14:paraId="6D8C4A8D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>Actinoid Contraction: Similar to lanthanoid contraction but greater in magnitude due to even poorer shielding by 5 f electrons.</w:t>
      </w:r>
    </w:p>
    <w:p w14:paraId="3A14E3E2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>Paramagnetism: Property of being attracted to a magnetic field, caused by unpaired electrons.</w:t>
      </w:r>
    </w:p>
    <w:p w14:paraId="4E772BCB" w14:textId="77777777" w:rsidR="00FD6EDD" w:rsidRDefault="00FD6EDD">
      <w:pPr>
        <w:numPr>
          <w:ilvl w:val="0"/>
          <w:numId w:val="219"/>
        </w:numPr>
        <w:spacing w:after="120" w:line="240" w:lineRule="atLeast"/>
      </w:pPr>
      <m:oMath>
        <m:r>
          <m:rPr>
            <m:sty m:val="b"/>
          </m:rPr>
          <w:rPr>
            <w:rFonts w:ascii="Cambria Math" w:hAnsi="Cambria Math"/>
          </w:rPr>
          <m:t>d</m:t>
        </m:r>
      </m:oMath>
      <w:r>
        <w:t xml:space="preserve">-d Transition: The promotion of an electron from a lower energy </w:t>
      </w:r>
      <m:oMath>
        <m:r>
          <m:rPr>
            <m:sty m:val="b"/>
          </m:rPr>
          <w:rPr>
            <w:rFonts w:ascii="Cambria Math" w:hAnsi="Cambria Math"/>
          </w:rPr>
          <m:t>d</m:t>
        </m:r>
      </m:oMath>
      <w:r>
        <w:t>-orbital to a higher energy d-orbital, responsible for color.</w:t>
      </w:r>
    </w:p>
    <w:p w14:paraId="4CD7EAA7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 xml:space="preserve">Spectrochemical Series: A series of ligands arranged in increasing order of crystal field splitting energy (relevant for </w:t>
      </w:r>
      <w:proofErr w:type="spellStart"/>
      <w:r>
        <w:t>color</w:t>
      </w:r>
      <w:proofErr w:type="spellEnd"/>
      <w:r>
        <w:t>).</w:t>
      </w:r>
    </w:p>
    <w:p w14:paraId="1251F5B1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 xml:space="preserve">Pyrolusite: The 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used to prepare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>.</w:t>
      </w:r>
    </w:p>
    <w:p w14:paraId="6D4B45CA" w14:textId="77777777" w:rsidR="00FD6EDD" w:rsidRDefault="00FD6EDD">
      <w:pPr>
        <w:numPr>
          <w:ilvl w:val="0"/>
          <w:numId w:val="219"/>
        </w:numPr>
        <w:spacing w:after="120" w:line="240" w:lineRule="atLeast"/>
      </w:pPr>
      <w:r>
        <w:t xml:space="preserve">Chromite Ore: The 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FeCr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used to prepare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</m:oMath>
      <w:r>
        <w:t>.</w:t>
      </w:r>
    </w:p>
    <w:p w14:paraId="48F302A6" w14:textId="13770E3E" w:rsidR="002B0BF6" w:rsidRDefault="002B0BF6" w:rsidP="002B0BF6">
      <w:pPr>
        <w:spacing w:after="120" w:line="240" w:lineRule="atLeast"/>
        <w:ind w:left="360"/>
      </w:pPr>
      <w:r w:rsidRPr="002B0BF6">
        <w:rPr>
          <w:b/>
          <w:bCs/>
          <w:highlight w:val="green"/>
        </w:rPr>
        <w:t>Mentor insight:</w:t>
      </w:r>
      <w:r w:rsidRPr="002B0BF6">
        <w:rPr>
          <w:highlight w:val="green"/>
        </w:rPr>
        <w:t xml:space="preserve"> The topics of </w:t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Cr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7</m:t>
            </m:r>
          </m:sub>
        </m:sSub>
      </m:oMath>
      <w:r w:rsidRPr="002B0BF6">
        <w:rPr>
          <w:highlight w:val="green"/>
        </w:rPr>
        <w:t xml:space="preserve"> and </w:t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4</m:t>
            </m:r>
          </m:sub>
        </m:sSub>
      </m:oMath>
      <w:r w:rsidRPr="002B0BF6">
        <w:rPr>
          <w:rFonts w:eastAsiaTheme="minorEastAsia"/>
          <w:highlight w:val="green"/>
        </w:rPr>
        <w:t xml:space="preserve"> always</w:t>
      </w:r>
      <w:r>
        <w:rPr>
          <w:rFonts w:eastAsiaTheme="minorEastAsia"/>
          <w:highlight w:val="green"/>
        </w:rPr>
        <w:t xml:space="preserve"> appear</w:t>
      </w:r>
      <w:r w:rsidRPr="002B0BF6">
        <w:rPr>
          <w:rFonts w:eastAsiaTheme="minorEastAsia"/>
          <w:highlight w:val="green"/>
        </w:rPr>
        <w:t xml:space="preserve"> in exams, make sure to learn them by heart.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