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2B6BA" w14:textId="77777777" w:rsidR="00761F49" w:rsidRPr="00AC0CA9" w:rsidRDefault="008670AF">
      <w:pPr>
        <w:spacing w:before="330" w:line="271" w:lineRule="auto"/>
        <w:rPr>
          <w:sz w:val="32"/>
          <w:szCs w:val="32"/>
        </w:rPr>
      </w:pPr>
      <w:bookmarkStart w:id="58" w:name="f_exam_strategy_notes_5"/>
      <w:r w:rsidRPr="00AC0CA9">
        <w:rPr>
          <w:b/>
          <w:sz w:val="32"/>
          <w:szCs w:val="32"/>
        </w:rPr>
        <w:t>F. Exam Strategy Notes</w:t>
      </w:r>
      <w:bookmarkEnd w:id="58"/>
    </w:p>
    <w:p w14:paraId="3818D7DC" w14:textId="77777777" w:rsidR="00761F49" w:rsidRDefault="008670AF" w:rsidP="00C72F9D">
      <w:pPr>
        <w:numPr>
          <w:ilvl w:val="0"/>
          <w:numId w:val="69"/>
        </w:numPr>
      </w:pPr>
      <w:r w:rsidRPr="00AC0CA9">
        <w:rPr>
          <w:b/>
          <w:bCs/>
        </w:rPr>
        <w:t>Format Matters</w:t>
      </w:r>
      <w:r>
        <w:t xml:space="preserve">: Always write the final answer in the standard form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ib</m:t>
        </m:r>
      </m:oMath>
      <w:r>
        <w:t xml:space="preserve">. If the answer is just </w:t>
      </w:r>
      <m:oMath>
        <m:r>
          <w:rPr>
            <w:rFonts w:ascii="Cambria Math" w:hAnsi="Cambria Math"/>
          </w:rPr>
          <m:t>i</m:t>
        </m:r>
      </m:oMath>
      <w:r>
        <w:t xml:space="preserve">, write </w:t>
      </w:r>
      <m:oMath>
        <m:r>
          <m:rPr>
            <m:sty m:val="p"/>
          </m:rPr>
          <w:rPr>
            <w:rFonts w:ascii="Cambria Math" w:hAnsi="Cambria Math"/>
          </w:rPr>
          <m:t>0+</m:t>
        </m:r>
        <m:r>
          <w:rPr>
            <w:rFonts w:ascii="Cambria Math" w:hAnsi="Cambria Math"/>
          </w:rPr>
          <m:t>i</m:t>
        </m:r>
      </m:oMath>
      <w:r>
        <w:t>.</w:t>
      </w:r>
    </w:p>
    <w:p w14:paraId="2C1DE80B" w14:textId="77777777" w:rsidR="00761F49" w:rsidRDefault="008670AF" w:rsidP="00C72F9D">
      <w:pPr>
        <w:numPr>
          <w:ilvl w:val="0"/>
          <w:numId w:val="69"/>
        </w:numPr>
      </w:pPr>
      <w:r w:rsidRPr="00AC0CA9">
        <w:rPr>
          <w:b/>
          <w:bCs/>
        </w:rPr>
        <w:t>Quadratic Formula</w:t>
      </w:r>
      <w:r>
        <w:t xml:space="preserve">: When solving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t xml:space="preserve"> with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&lt;0</m:t>
        </m:r>
      </m:oMath>
      <w:r>
        <w:t xml:space="preserve">, explicitly write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</m:oMath>
      <w:r>
        <w:t xml:space="preserve">. Don't skip the step showing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D</m:t>
            </m:r>
          </m:e>
        </m:rad>
      </m:oMath>
      <w:r>
        <w:t>.</w:t>
      </w:r>
    </w:p>
    <w:p w14:paraId="125BAEAA" w14:textId="77777777" w:rsidR="00761F49" w:rsidRDefault="008670AF" w:rsidP="00C72F9D">
      <w:pPr>
        <w:numPr>
          <w:ilvl w:val="0"/>
          <w:numId w:val="69"/>
        </w:numPr>
      </w:pPr>
      <w:r w:rsidRPr="00AC0CA9">
        <w:rPr>
          <w:b/>
          <w:bCs/>
        </w:rPr>
        <w:t>Polar Form Check:</w:t>
      </w:r>
      <w:r>
        <w:t xml:space="preserve"> Always double-check the quadrant. A common mistake is calculating </w:t>
      </w:r>
      <m:oMath>
        <m:r>
          <w:rPr>
            <w:rFonts w:ascii="Cambria Math" w:hAnsi="Cambria Math"/>
          </w:rPr>
          <m:t>α</m:t>
        </m:r>
      </m:oMath>
      <w:r>
        <w:t xml:space="preserve"> correctly but forgetting to adjust for QII, QIII, or QIV.</w:t>
      </w:r>
    </w:p>
    <w:p w14:paraId="624859DE" w14:textId="77777777" w:rsidR="00761F49" w:rsidRDefault="008670AF" w:rsidP="00C72F9D">
      <w:pPr>
        <w:numPr>
          <w:ilvl w:val="0"/>
          <w:numId w:val="69"/>
        </w:numPr>
      </w:pPr>
      <w:r w:rsidRPr="00AC0CA9">
        <w:rPr>
          <w:b/>
          <w:bCs/>
        </w:rPr>
        <w:t>Rationalization:</w:t>
      </w:r>
      <w:r>
        <w:t xml:space="preserve"> Whenever you see </w:t>
      </w:r>
      <m:oMath>
        <m:r>
          <w:rPr>
            <w:rFonts w:ascii="Cambria Math" w:hAnsi="Cambria Math"/>
          </w:rPr>
          <m:t>i</m:t>
        </m:r>
      </m:oMath>
      <w:r>
        <w:t xml:space="preserve"> in the denominator, multiply by the conjugate immediately.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