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52852" w14:textId="77777777" w:rsidR="00761F49" w:rsidRDefault="008670AF">
      <w:pPr>
        <w:spacing w:before="330" w:line="271" w:lineRule="auto"/>
      </w:pPr>
      <w:bookmarkStart w:id="103" w:name="d_key_terms_and_keywords_9"/>
      <w:r>
        <w:rPr>
          <w:b/>
          <w:sz w:val="42"/>
        </w:rPr>
        <w:t>D. Key Terms and Keywords</w:t>
      </w:r>
      <w:bookmarkEnd w:id="103"/>
    </w:p>
    <w:p w14:paraId="02E87F46" w14:textId="77777777" w:rsidR="00761F49" w:rsidRDefault="008670AF" w:rsidP="00C72F9D">
      <w:pPr>
        <w:numPr>
          <w:ilvl w:val="0"/>
          <w:numId w:val="120"/>
        </w:numPr>
      </w:pPr>
      <w:r w:rsidRPr="00423DD1">
        <w:rPr>
          <w:b/>
          <w:bCs/>
        </w:rPr>
        <w:t>Sequence:</w:t>
      </w:r>
      <w:r>
        <w:t xml:space="preserve"> An ordered arrangement of numbers according to a given rule.</w:t>
      </w:r>
    </w:p>
    <w:p w14:paraId="2C675DB9" w14:textId="77777777" w:rsidR="00761F49" w:rsidRDefault="008670AF" w:rsidP="00C72F9D">
      <w:pPr>
        <w:numPr>
          <w:ilvl w:val="0"/>
          <w:numId w:val="120"/>
        </w:numPr>
      </w:pPr>
      <w:r w:rsidRPr="00423DD1">
        <w:rPr>
          <w:b/>
          <w:bCs/>
        </w:rPr>
        <w:t>Series:</w:t>
      </w:r>
      <w:r>
        <w:t xml:space="preserve"> The sum of the terms of a sequence.</w:t>
      </w:r>
    </w:p>
    <w:p w14:paraId="14834C04" w14:textId="77777777" w:rsidR="00761F49" w:rsidRDefault="008670AF" w:rsidP="00C72F9D">
      <w:pPr>
        <w:numPr>
          <w:ilvl w:val="0"/>
          <w:numId w:val="120"/>
        </w:numPr>
      </w:pPr>
      <w:r w:rsidRPr="00423DD1">
        <w:rPr>
          <w:b/>
          <w:bCs/>
        </w:rPr>
        <w:t xml:space="preserve">Common Ratio ( </w:t>
      </w:r>
      <m:oMath>
        <m:r>
          <m:rPr>
            <m:sty m:val="bi"/>
          </m:rPr>
          <w:rPr>
            <w:rFonts w:ascii="Cambria Math" w:hAnsi="Cambria Math"/>
          </w:rPr>
          <m:t>r</m:t>
        </m:r>
      </m:oMath>
      <w:r w:rsidRPr="00423DD1">
        <w:rPr>
          <w:b/>
          <w:bCs/>
        </w:rPr>
        <w:t xml:space="preserve"> ):</w:t>
      </w:r>
      <w:r>
        <w:t xml:space="preserve"> The constant factor between consecutive terms in a G.P.</w:t>
      </w:r>
    </w:p>
    <w:p w14:paraId="0C07FCB7" w14:textId="77777777" w:rsidR="00761F49" w:rsidRDefault="008670AF" w:rsidP="00C72F9D">
      <w:pPr>
        <w:numPr>
          <w:ilvl w:val="0"/>
          <w:numId w:val="120"/>
        </w:numPr>
      </w:pPr>
      <w:r w:rsidRPr="00423DD1">
        <w:rPr>
          <w:b/>
          <w:bCs/>
        </w:rPr>
        <w:t>Infinite G.P.:</w:t>
      </w:r>
      <w:r>
        <w:t xml:space="preserve"> A geometric progression that continues indefinitely. It converges to a sum if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|&lt;1</m:t>
        </m:r>
      </m:oMath>
      <w:r>
        <w:t>.</w:t>
      </w:r>
    </w:p>
    <w:p w14:paraId="2976A1FE" w14:textId="77777777" w:rsidR="00761F49" w:rsidRDefault="008670AF" w:rsidP="00C72F9D">
      <w:pPr>
        <w:numPr>
          <w:ilvl w:val="0"/>
          <w:numId w:val="120"/>
        </w:numPr>
      </w:pPr>
      <w:r w:rsidRPr="00423DD1">
        <w:rPr>
          <w:b/>
          <w:bCs/>
        </w:rPr>
        <w:t>Arithmetic Mean (A.M.):</w:t>
      </w:r>
      <w:r>
        <w:t xml:space="preserve"> The average of numbers (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b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</m:oMath>
      <w:r>
        <w:t xml:space="preserve"> ).</w:t>
      </w:r>
    </w:p>
    <w:p w14:paraId="473158E0" w14:textId="77777777" w:rsidR="00761F49" w:rsidRDefault="008670AF" w:rsidP="00C72F9D">
      <w:pPr>
        <w:numPr>
          <w:ilvl w:val="0"/>
          <w:numId w:val="120"/>
        </w:numPr>
      </w:pPr>
      <w:r w:rsidRPr="00423DD1">
        <w:rPr>
          <w:b/>
          <w:bCs/>
        </w:rPr>
        <w:t>Geometric Mean (G.M.):</w:t>
      </w:r>
      <w:r>
        <w:t xml:space="preserve"> The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m:rPr>
                <m:nor/>
              </m:rPr>
              <m:t>th</m:t>
            </m:r>
            <m:r>
              <m:rPr>
                <m:nor/>
              </m:rPr>
              <m:t> </m:t>
            </m:r>
          </m:sup>
        </m:sSup>
      </m:oMath>
      <w:r>
        <w:t xml:space="preserve"> root of the product of </w:t>
      </w:r>
      <m:oMath>
        <m:r>
          <w:rPr>
            <w:rFonts w:ascii="Cambria Math" w:hAnsi="Cambria Math"/>
          </w:rPr>
          <m:t>n</m:t>
        </m:r>
      </m:oMath>
      <w:r>
        <w:t xml:space="preserve"> numbers (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ab</m:t>
            </m:r>
          </m:e>
        </m:rad>
      </m:oMath>
      <w:r>
        <w:t xml:space="preserve"> for two).</w:t>
      </w:r>
    </w:p>
    <w:p w14:paraId="4B2B6DC7" w14:textId="77777777" w:rsidR="00761F49" w:rsidRDefault="008670AF" w:rsidP="00C72F9D">
      <w:pPr>
        <w:numPr>
          <w:ilvl w:val="0"/>
          <w:numId w:val="120"/>
        </w:numPr>
      </w:pPr>
      <w:r w:rsidRPr="00423DD1">
        <w:rPr>
          <w:b/>
          <w:bCs/>
        </w:rPr>
        <w:t xml:space="preserve">Sigma Notation </w:t>
      </w:r>
      <m:oMath>
        <m:r>
          <m:rPr>
            <m:sty m:val="b"/>
          </m:rPr>
          <w:rPr>
            <w:rFonts w:ascii="Cambria Math" w:hAnsi="Cambria Math"/>
          </w:rPr>
          <m:t>(Σ)</m:t>
        </m:r>
      </m:oMath>
      <w:r>
        <w:t xml:space="preserve"> : A symbol used to write long sums concisely.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