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c477138e3e93397cf6fffa2f60f46652a564b6c"/>
    <w:p>
      <w:pPr>
        <w:pStyle w:val="Heading1"/>
      </w:pPr>
      <w:r>
        <w:t xml:space="preserve">The Fine Structure Constant from Dimensional Emergence</w:t>
      </w:r>
    </w:p>
    <w:p>
      <w:pPr>
        <w:pStyle w:val="FirstParagraph"/>
      </w:pPr>
      <w:r>
        <w:rPr>
          <w:bCs/>
          <w:b/>
        </w:rPr>
        <w:t xml:space="preserve">A Structural Derivation within the Dimensional Emergence Framework (DEF)</w:t>
      </w:r>
    </w:p>
    <w:p>
      <w:pPr>
        <w:pStyle w:val="BodyText"/>
      </w:pPr>
      <w:r>
        <w:t xml:space="preserve">Working Paper — February 2026</w:t>
      </w:r>
    </w:p>
    <w:p>
      <w:pPr>
        <w:pStyle w:val="BodyText"/>
      </w:pPr>
      <w:r>
        <w:t xml:space="preserve">Author: Hans Buholzer</w:t>
      </w:r>
    </w:p>
    <w:p>
      <w:r>
        <w:pict>
          <v:rect style="width:0;height:1.5pt" o:hralign="center" o:hrstd="t" o:hr="t"/>
        </w:pict>
      </w:r>
    </w:p>
    <w:bookmarkStart w:id="20" w:name="abstract"/>
    <w:p>
      <w:pPr>
        <w:pStyle w:val="Heading2"/>
      </w:pPr>
      <w:r>
        <w:t xml:space="preserve">Abstract</w:t>
      </w:r>
    </w:p>
    <w:p>
      <w:pPr>
        <w:pStyle w:val="FirstParagraph"/>
      </w:pPr>
      <w:r>
        <w:t xml:space="preserve">This paper presents a fully self-contained derivation of the fine structure constant α ≈ 1/137 within the Dimensional Emergence Framework (DEF). The derivation is not numerological. Instead, α emerges as a structural consequence of dimensional emergence, self-reference, and symmetry reduction in the physical coupling space.</w:t>
      </w:r>
    </w:p>
    <w:p>
      <w:pPr>
        <w:pStyle w:val="BodyText"/>
      </w:pPr>
      <w:r>
        <w:t xml:space="preserve">The core result is α = 1/(n² − k), where n = 12 arises from four fundamental modes each admitting three operational phases, and k = 7 arises from unavoidable self-reference (gauge) directions. The normalization of α follows from isotropy of the physical operator space under admissible transformations, not from equipartition assumptions.</w:t>
      </w:r>
    </w:p>
    <w:p>
      <w:r>
        <w:pict>
          <v:rect style="width:0;height:1.5pt" o:hralign="center" o:hrstd="t" o:hr="t"/>
        </w:pict>
      </w:r>
    </w:p>
    <w:bookmarkEnd w:id="20"/>
    <w:bookmarkStart w:id="21" w:name="introduction-and-motivation"/>
    <w:p>
      <w:pPr>
        <w:pStyle w:val="Heading2"/>
      </w:pPr>
      <w:r>
        <w:t xml:space="preserve">1. Introduction and Motivation</w:t>
      </w:r>
    </w:p>
    <w:p>
      <w:pPr>
        <w:pStyle w:val="FirstParagraph"/>
      </w:pPr>
      <w:r>
        <w:t xml:space="preserve">The fine structure constant α ≈ 1/137.036 is one of the most enigmatic dimensionless numbers in physics. Within quantum electrodynamics it appears as a free parameter whose value must be measured. Numerous historical attempts to</w:t>
      </w:r>
      <w:r>
        <w:t xml:space="preserve"> </w:t>
      </w:r>
      <w:r>
        <w:t xml:space="preserve">“</w:t>
      </w:r>
      <w:r>
        <w:t xml:space="preserve">derive</w:t>
      </w:r>
      <w:r>
        <w:t xml:space="preserve">”</w:t>
      </w:r>
      <w:r>
        <w:t xml:space="preserve"> </w:t>
      </w:r>
      <w:r>
        <w:t xml:space="preserve">α have failed due to lack of structural grounding — they amount to numerological fitting rather than principled derivation.</w:t>
      </w:r>
    </w:p>
    <w:p>
      <w:pPr>
        <w:pStyle w:val="BodyText"/>
      </w:pPr>
      <w:r>
        <w:t xml:space="preserve">The Dimensional Emergence Framework (DEF) approaches the problem structurally, asking:</w:t>
      </w:r>
      <w:r>
        <w:t xml:space="preserve"> </w:t>
      </w:r>
      <w:r>
        <w:rPr>
          <w:iCs/>
          <w:i/>
        </w:rPr>
        <w:t xml:space="preserve">What features of reality make a universal dimensionless coupling unavoidable, and what determines its value?</w:t>
      </w:r>
    </w:p>
    <w:p>
      <w:pPr>
        <w:pStyle w:val="BodyText"/>
      </w:pPr>
      <w:r>
        <w:t xml:space="preserve">The answer proposed here: α encodes the fraction of coupling structure that remains accessible once unavoidable self-reference is removed. We measure 137 of 144 possible coupling degrees of freedom; the remaining 7 are inaccessible because they constitute our own observational structure.</w:t>
      </w:r>
    </w:p>
    <w:p>
      <w:r>
        <w:pict>
          <v:rect style="width:0;height:1.5pt" o:hralign="center" o:hrstd="t" o:hr="t"/>
        </w:pict>
      </w:r>
    </w:p>
    <w:bookmarkEnd w:id="21"/>
    <w:bookmarkStart w:id="25" w:name="part-i-the-configuration-space"/>
    <w:p>
      <w:pPr>
        <w:pStyle w:val="Heading2"/>
      </w:pPr>
      <w:r>
        <w:t xml:space="preserve">Part I: The Configuration Space</w:t>
      </w:r>
    </w:p>
    <w:bookmarkStart w:id="22" w:name="def-primitives"/>
    <w:p>
      <w:pPr>
        <w:pStyle w:val="Heading3"/>
      </w:pPr>
      <w:r>
        <w:t xml:space="preserve">2. DEF Primitives</w:t>
      </w:r>
    </w:p>
    <w:p>
      <w:pPr>
        <w:pStyle w:val="FirstParagraph"/>
      </w:pPr>
      <w:r>
        <w:rPr>
          <w:bCs/>
          <w:b/>
        </w:rPr>
        <w:t xml:space="preserve">Axiom 1 (Primordial Differentiation):</w:t>
      </w:r>
      <w:r>
        <w:t xml:space="preserve"> </w:t>
      </w:r>
      <w:r>
        <w:t xml:space="preserve">Reality differentiates from an undifferentiated ground state (Being) into two complementary aspects:</w:t>
      </w:r>
      <w:r>
        <w:t xml:space="preserve"> </w:t>
      </w:r>
      <w:r>
        <w:t xml:space="preserve">-</w:t>
      </w:r>
      <w:r>
        <w:t xml:space="preserve"> </w:t>
      </w:r>
      <w:r>
        <w:rPr>
          <w:bCs/>
          <w:b/>
        </w:rPr>
        <w:t xml:space="preserve">Existence (E):</w:t>
      </w:r>
      <w:r>
        <w:t xml:space="preserve"> </w:t>
      </w:r>
      <w:r>
        <w:t xml:space="preserve">The aspect of</w:t>
      </w:r>
      <w:r>
        <w:t xml:space="preserve"> </w:t>
      </w:r>
      <w:r>
        <w:t xml:space="preserve">“</w:t>
      </w:r>
      <w:r>
        <w:t xml:space="preserve">that which is</w:t>
      </w:r>
      <w:r>
        <w:t xml:space="preserve">”</w:t>
      </w:r>
      <w:r>
        <w:t xml:space="preserve"> </w:t>
      </w:r>
      <w:r>
        <w:t xml:space="preserve">— structure and distinguishability</w:t>
      </w:r>
      <w:r>
        <w:t xml:space="preserve"> </w:t>
      </w:r>
      <w:r>
        <w:t xml:space="preserve">-</w:t>
      </w:r>
      <w:r>
        <w:t xml:space="preserve"> </w:t>
      </w:r>
      <w:r>
        <w:rPr>
          <w:bCs/>
          <w:b/>
        </w:rPr>
        <w:t xml:space="preserve">Happening (H):</w:t>
      </w:r>
      <w:r>
        <w:t xml:space="preserve"> </w:t>
      </w:r>
      <w:r>
        <w:t xml:space="preserve">The aspect of</w:t>
      </w:r>
      <w:r>
        <w:t xml:space="preserve"> </w:t>
      </w:r>
      <w:r>
        <w:t xml:space="preserve">“</w:t>
      </w:r>
      <w:r>
        <w:t xml:space="preserve">that which occurs</w:t>
      </w:r>
      <w:r>
        <w:t xml:space="preserve">”</w:t>
      </w:r>
      <w:r>
        <w:t xml:space="preserve"> </w:t>
      </w:r>
      <w:r>
        <w:t xml:space="preserve">— dynamics and relation</w:t>
      </w:r>
    </w:p>
    <w:p>
      <w:pPr>
        <w:pStyle w:val="BodyText"/>
      </w:pPr>
      <w:r>
        <w:rPr>
          <w:iCs/>
          <w:i/>
        </w:rPr>
        <w:t xml:space="preserve">Remark:</w:t>
      </w:r>
      <w:r>
        <w:t xml:space="preserve"> </w:t>
      </w:r>
      <w:r>
        <w:t xml:space="preserve">Being itself admits no internal distinctions and cannot be described in differentiated terms. Existence and Happening are the first and most fundamental distinction.</w:t>
      </w:r>
    </w:p>
    <w:p>
      <w:pPr>
        <w:pStyle w:val="BodyText"/>
      </w:pPr>
      <w:r>
        <w:rPr>
          <w:bCs/>
          <w:b/>
        </w:rPr>
        <w:t xml:space="preserve">Axiom 2 (Pairwise Differentiation):</w:t>
      </w:r>
      <w:r>
        <w:t xml:space="preserve"> </w:t>
      </w:r>
      <w:r>
        <w:t xml:space="preserve">Each primordial dimension differentiates into exactly two complementary modes:</w:t>
      </w:r>
      <w:r>
        <w:t xml:space="preserve"> </w:t>
      </w:r>
      <w:r>
        <w:t xml:space="preserve">- From Existence:</w:t>
      </w:r>
      <w:r>
        <w:t xml:space="preserve"> </w:t>
      </w:r>
      <w:r>
        <w:rPr>
          <w:bCs/>
          <w:b/>
        </w:rPr>
        <w:t xml:space="preserve">Structure (S)</w:t>
      </w:r>
      <w:r>
        <w:t xml:space="preserve"> </w:t>
      </w:r>
      <w:r>
        <w:t xml:space="preserve">↔</w:t>
      </w:r>
      <w:r>
        <w:t xml:space="preserve"> </w:t>
      </w:r>
      <w:r>
        <w:rPr>
          <w:bCs/>
          <w:b/>
        </w:rPr>
        <w:t xml:space="preserve">Space (R)</w:t>
      </w:r>
      <w:r>
        <w:t xml:space="preserve"> </w:t>
      </w:r>
      <w:r>
        <w:t xml:space="preserve">- From Happening:</w:t>
      </w:r>
      <w:r>
        <w:t xml:space="preserve"> </w:t>
      </w:r>
      <w:r>
        <w:rPr>
          <w:bCs/>
          <w:b/>
        </w:rPr>
        <w:t xml:space="preserve">Dynamics (D)</w:t>
      </w:r>
      <w:r>
        <w:t xml:space="preserve"> </w:t>
      </w:r>
      <w:r>
        <w:t xml:space="preserve">↔</w:t>
      </w:r>
      <w:r>
        <w:t xml:space="preserve"> </w:t>
      </w:r>
      <w:r>
        <w:rPr>
          <w:bCs/>
          <w:b/>
        </w:rPr>
        <w:t xml:space="preserve">Exchange (X)</w:t>
      </w:r>
    </w:p>
    <w:p>
      <w:pPr>
        <w:pStyle w:val="BodyText"/>
      </w:pPr>
      <w:r>
        <w:rPr>
          <w:iCs/>
          <w:i/>
        </w:rPr>
        <w:t xml:space="preserve">Remark:</w:t>
      </w:r>
      <w:r>
        <w:t xml:space="preserve"> </w:t>
      </w:r>
      <w:r>
        <w:t xml:space="preserve">The pairwise structure is not arbitrary. DEF establishes (via closure arguments in the main framework) that three-mode regimes are unstable, while four-mode regimes with two complementary pairs admit stable closure conditions. The four modes M = {S, R, D, X} form the minimal closure-stable physical regime.</w:t>
      </w:r>
    </w:p>
    <w:p>
      <w:pPr>
        <w:pStyle w:val="BodyText"/>
      </w:pPr>
      <w:r>
        <w:rPr>
          <w:bCs/>
          <w:b/>
        </w:rPr>
        <w:t xml:space="preserve">Definition 1 (Mode Interpretation):</w:t>
      </w:r>
      <w:r>
        <w:t xml:space="preserve"> </w:t>
      </w:r>
      <w:r>
        <w:t xml:space="preserve">- S (Structure): What exists — distinguishable entities, object identity</w:t>
      </w:r>
      <w:r>
        <w:t xml:space="preserve"> </w:t>
      </w:r>
      <w:r>
        <w:t xml:space="preserve">- R (Space): Where it exists — location, topology, spatial relations</w:t>
      </w:r>
      <w:r>
        <w:t xml:space="preserve"> </w:t>
      </w:r>
      <w:r>
        <w:t xml:space="preserve">- D (Dynamics): How it changes — temporal flow, evolution</w:t>
      </w:r>
      <w:r>
        <w:t xml:space="preserve"> </w:t>
      </w:r>
      <w:r>
        <w:t xml:space="preserve">- X (Exchange): How it couples — interaction, energy/information transfer</w:t>
      </w:r>
    </w:p>
    <w:p>
      <w:r>
        <w:pict>
          <v:rect style="width:0;height:1.5pt" o:hralign="center" o:hrstd="t" o:hr="t"/>
        </w:pict>
      </w:r>
    </w:p>
    <w:bookmarkEnd w:id="22"/>
    <w:bookmarkStart w:id="23" w:name="phase-structure-and-configuration-space"/>
    <w:p>
      <w:pPr>
        <w:pStyle w:val="Heading3"/>
      </w:pPr>
      <w:r>
        <w:t xml:space="preserve">3. Phase Structure and Configuration Space</w:t>
      </w:r>
    </w:p>
    <w:p>
      <w:pPr>
        <w:pStyle w:val="FirstParagraph"/>
      </w:pPr>
      <w:r>
        <w:rPr>
          <w:bCs/>
          <w:b/>
        </w:rPr>
        <w:t xml:space="preserve">Axiom 3 (Phase Structure):</w:t>
      </w:r>
      <w:r>
        <w:t xml:space="preserve"> </w:t>
      </w:r>
      <w:r>
        <w:t xml:space="preserve">Each mode operates through three phases representing its operational states:</w:t>
      </w:r>
      <w:r>
        <w:t xml:space="preserve"> </w:t>
      </w:r>
      <w:r>
        <w:t xml:space="preserve">-</w:t>
      </w:r>
      <w:r>
        <w:t xml:space="preserve"> </w:t>
      </w:r>
      <w:r>
        <w:rPr>
          <w:bCs/>
          <w:b/>
        </w:rPr>
        <w:t xml:space="preserve">Entry (e):</w:t>
      </w:r>
      <w:r>
        <w:t xml:space="preserve"> </w:t>
      </w:r>
      <w:r>
        <w:t xml:space="preserve">Initiation, potential, opening</w:t>
      </w:r>
      <w:r>
        <w:t xml:space="preserve"> </w:t>
      </w:r>
      <w:r>
        <w:t xml:space="preserve">-</w:t>
      </w:r>
      <w:r>
        <w:t xml:space="preserve"> </w:t>
      </w:r>
      <w:r>
        <w:rPr>
          <w:bCs/>
          <w:b/>
        </w:rPr>
        <w:t xml:space="preserve">Crisis (c):</w:t>
      </w:r>
      <w:r>
        <w:t xml:space="preserve"> </w:t>
      </w:r>
      <w:r>
        <w:t xml:space="preserve">Transition, instability, transformation</w:t>
      </w:r>
      <w:r>
        <w:t xml:space="preserve"> </w:t>
      </w:r>
      <w:r>
        <w:t xml:space="preserve">-</w:t>
      </w:r>
      <w:r>
        <w:t xml:space="preserve"> </w:t>
      </w:r>
      <w:r>
        <w:rPr>
          <w:bCs/>
          <w:b/>
        </w:rPr>
        <w:t xml:space="preserve">Resolution (r):</w:t>
      </w:r>
      <w:r>
        <w:t xml:space="preserve"> </w:t>
      </w:r>
      <w:r>
        <w:t xml:space="preserve">Completion, stability, closure</w:t>
      </w:r>
    </w:p>
    <w:p>
      <w:pPr>
        <w:pStyle w:val="BodyText"/>
      </w:pPr>
      <w:r>
        <w:rPr>
          <w:iCs/>
          <w:i/>
        </w:rPr>
        <w:t xml:space="preserve">Remark:</w:t>
      </w:r>
      <w:r>
        <w:t xml:space="preserve"> </w:t>
      </w:r>
      <w:r>
        <w:t xml:space="preserve">The three-phase structure reflects the minimal cycle of any process: beginning, middle, end. It is the simplest non-trivial temporal articulation.</w:t>
      </w:r>
    </w:p>
    <w:p>
      <w:pPr>
        <w:pStyle w:val="BodyText"/>
      </w:pPr>
      <w:r>
        <w:rPr>
          <w:bCs/>
          <w:b/>
        </w:rPr>
        <w:t xml:space="preserve">Definition 2 (Configuration Space):</w:t>
      </w:r>
      <w:r>
        <w:t xml:space="preserve"> </w:t>
      </w:r>
      <w:r>
        <w:t xml:space="preserve">The full configuration space is the Cartesian product:</w:t>
      </w:r>
    </w:p>
    <w:p>
      <w:pPr>
        <w:pStyle w:val="BodyText"/>
      </w:pPr>
      <m:oMathPara>
        <m:oMathParaPr>
          <m:jc m:val="center"/>
        </m:oMathParaPr>
        <m:oMath>
          <m:r>
            <m:t>Ω</m:t>
          </m:r>
          <m:r>
            <m:rPr>
              <m:sty m:val="p"/>
            </m:rPr>
            <m:t>=</m:t>
          </m:r>
          <m:r>
            <m:t>M</m:t>
          </m:r>
          <m:r>
            <m:rPr>
              <m:sty m:val="p"/>
            </m:rPr>
            <m:t>×</m:t>
          </m:r>
          <m:r>
            <m:t>P</m:t>
          </m:r>
          <m:r>
            <m:rPr>
              <m:sty m:val="p"/>
            </m:rPr>
            <m:t>=</m:t>
          </m:r>
          <m:r>
            <m:rPr>
              <m:sty m:val="p"/>
            </m:rPr>
            <m:t>{</m:t>
          </m:r>
          <m:r>
            <m:t>S</m:t>
          </m:r>
          <m:r>
            <m:rPr>
              <m:sty m:val="p"/>
            </m:rPr>
            <m:t>,</m:t>
          </m:r>
          <m:r>
            <m:t>R</m:t>
          </m:r>
          <m:r>
            <m:rPr>
              <m:sty m:val="p"/>
            </m:rPr>
            <m:t>,</m:t>
          </m:r>
          <m:r>
            <m:t>D</m:t>
          </m:r>
          <m:r>
            <m:rPr>
              <m:sty m:val="p"/>
            </m:rPr>
            <m:t>,</m:t>
          </m:r>
          <m:r>
            <m:t>X</m:t>
          </m:r>
          <m:r>
            <m:rPr>
              <m:sty m:val="p"/>
            </m:rPr>
            <m:t>}</m:t>
          </m:r>
          <m:r>
            <m:rPr>
              <m:sty m:val="p"/>
            </m:rPr>
            <m:t>×</m:t>
          </m:r>
          <m:r>
            <m:rPr>
              <m:sty m:val="p"/>
            </m:rPr>
            <m:t>{</m:t>
          </m:r>
          <m:r>
            <m:t>e</m:t>
          </m:r>
          <m:r>
            <m:rPr>
              <m:sty m:val="p"/>
            </m:rPr>
            <m:t>,</m:t>
          </m:r>
          <m:r>
            <m:t>c</m:t>
          </m:r>
          <m:r>
            <m:rPr>
              <m:sty m:val="p"/>
            </m:rPr>
            <m:t>,</m:t>
          </m:r>
          <m:r>
            <m:t>r</m:t>
          </m:r>
          <m:r>
            <m:rPr>
              <m:sty m:val="p"/>
            </m:rPr>
            <m:t>}</m:t>
          </m:r>
        </m:oMath>
      </m:oMathPara>
    </w:p>
    <w:p>
      <w:pPr>
        <w:pStyle w:val="FirstParagraph"/>
      </w:pPr>
      <w:r>
        <w:t xml:space="preserve">A configuration specifies, for each mode, its current phase state.</w:t>
      </w:r>
    </w:p>
    <w:p>
      <w:pPr>
        <w:pStyle w:val="BodyText"/>
      </w:pPr>
      <w:r>
        <w:rPr>
          <w:bCs/>
          <w:b/>
        </w:rPr>
        <w:t xml:space="preserve">Theorem 1 (Configuration Dimension):</w:t>
      </w:r>
      <w:r>
        <w:t xml:space="preserve"> </w:t>
      </w:r>
      <w:r>
        <w:t xml:space="preserve">The configuration space has dimension:</w:t>
      </w:r>
    </w:p>
    <w:p>
      <w:pPr>
        <w:pStyle w:val="BodyText"/>
      </w:pPr>
      <m:oMathPara>
        <m:oMathParaPr>
          <m:jc m:val="center"/>
        </m:oMathParaPr>
        <m:oMath>
          <m:r>
            <m:t>n</m:t>
          </m:r>
          <m:r>
            <m:rPr>
              <m:sty m:val="p"/>
            </m:rPr>
            <m:t>=</m:t>
          </m:r>
          <m:d>
            <m:dPr>
              <m:begChr m:val="|"/>
              <m:endChr m:val="|"/>
              <m:sepChr m:val=""/>
              <m:grow/>
            </m:dPr>
            <m:e>
              <m:r>
                <m:t>M</m:t>
              </m:r>
            </m:e>
          </m:d>
          <m:r>
            <m:rPr>
              <m:sty m:val="p"/>
            </m:rPr>
            <m:t>×</m:t>
          </m:r>
          <m:d>
            <m:dPr>
              <m:begChr m:val="|"/>
              <m:endChr m:val="|"/>
              <m:sepChr m:val=""/>
              <m:grow/>
            </m:dPr>
            <m:e>
              <m:r>
                <m:t>P</m:t>
              </m:r>
            </m:e>
          </m:d>
          <m:r>
            <m:rPr>
              <m:sty m:val="p"/>
            </m:rPr>
            <m:t>=</m:t>
          </m:r>
          <m:r>
            <m:t>4</m:t>
          </m:r>
          <m:r>
            <m:rPr>
              <m:sty m:val="p"/>
            </m:rPr>
            <m:t>×</m:t>
          </m:r>
          <m:r>
            <m:t>3</m:t>
          </m:r>
          <m:r>
            <m:rPr>
              <m:sty m:val="p"/>
            </m:rPr>
            <m:t>=</m:t>
          </m:r>
          <m:r>
            <m:t>12</m:t>
          </m:r>
        </m:oMath>
      </m:oMathPara>
    </w:p>
    <w:p>
      <w:pPr>
        <w:pStyle w:val="FirstParagraph"/>
      </w:pPr>
      <w:r>
        <w:rPr>
          <w:iCs/>
          <w:i/>
        </w:rPr>
        <w:t xml:space="preserve">Proof:</w:t>
      </w:r>
      <w:r>
        <w:t xml:space="preserve"> </w:t>
      </w:r>
      <w:r>
        <w:t xml:space="preserve">Direct counting. Each of 4 modes admits 3 independent phase values. □</w:t>
      </w:r>
    </w:p>
    <w:p>
      <w:pPr>
        <w:pStyle w:val="BodyText"/>
      </w:pPr>
      <w:r>
        <w:rPr>
          <w:bCs/>
          <w:b/>
        </w:rPr>
        <w:t xml:space="preserve">Definition 3 (State Vector):</w:t>
      </w:r>
      <w:r>
        <w:t xml:space="preserve"> </w:t>
      </w:r>
      <w:r>
        <w:t xml:space="preserve">A state y ∈ ℝ¹² is indexed as:</w:t>
      </w:r>
    </w:p>
    <w:p>
      <w:pPr>
        <w:pStyle w:val="BodyText"/>
      </w:pPr>
      <m:oMathPara>
        <m:oMathParaPr>
          <m:jc m:val="center"/>
        </m:oMathParaPr>
        <m:oMath>
          <m:r>
            <m:t>y</m:t>
          </m:r>
          <m:r>
            <m:rPr>
              <m:sty m:val="p"/>
            </m:rPr>
            <m:t>=</m:t>
          </m:r>
          <m:d>
            <m:dPr>
              <m:begChr m:val="("/>
              <m:endChr m:val=")"/>
              <m:sepChr m:val=""/>
              <m:grow/>
            </m:dPr>
            <m:e>
              <m:sSub>
                <m:e>
                  <m:r>
                    <m:t>y</m:t>
                  </m:r>
                </m:e>
                <m:sub>
                  <m:r>
                    <m:t>S</m:t>
                  </m:r>
                  <m:r>
                    <m:rPr>
                      <m:sty m:val="p"/>
                    </m:rPr>
                    <m:t>,</m:t>
                  </m:r>
                  <m:r>
                    <m:t>e</m:t>
                  </m:r>
                </m:sub>
              </m:sSub>
              <m:r>
                <m:rPr>
                  <m:sty m:val="p"/>
                </m:rPr>
                <m:t>,</m:t>
              </m:r>
              <m:sSub>
                <m:e>
                  <m:r>
                    <m:t>y</m:t>
                  </m:r>
                </m:e>
                <m:sub>
                  <m:r>
                    <m:t>S</m:t>
                  </m:r>
                  <m:r>
                    <m:rPr>
                      <m:sty m:val="p"/>
                    </m:rPr>
                    <m:t>,</m:t>
                  </m:r>
                  <m:r>
                    <m:t>c</m:t>
                  </m:r>
                </m:sub>
              </m:sSub>
              <m:r>
                <m:rPr>
                  <m:sty m:val="p"/>
                </m:rPr>
                <m:t>,</m:t>
              </m:r>
              <m:sSub>
                <m:e>
                  <m:r>
                    <m:t>y</m:t>
                  </m:r>
                </m:e>
                <m:sub>
                  <m:r>
                    <m:t>S</m:t>
                  </m:r>
                  <m:r>
                    <m:rPr>
                      <m:sty m:val="p"/>
                    </m:rPr>
                    <m:t>,</m:t>
                  </m:r>
                  <m:r>
                    <m:t>r</m:t>
                  </m:r>
                </m:sub>
              </m:sSub>
              <m:r>
                <m:rPr>
                  <m:sty m:val="p"/>
                </m:rPr>
                <m:t>,</m:t>
              </m:r>
              <m:sSub>
                <m:e>
                  <m:r>
                    <m:t>y</m:t>
                  </m:r>
                </m:e>
                <m:sub>
                  <m:r>
                    <m:t>R</m:t>
                  </m:r>
                  <m:r>
                    <m:rPr>
                      <m:sty m:val="p"/>
                    </m:rPr>
                    <m:t>,</m:t>
                  </m:r>
                  <m:r>
                    <m:t>e</m:t>
                  </m:r>
                </m:sub>
              </m:sSub>
              <m:r>
                <m:rPr>
                  <m:sty m:val="p"/>
                </m:rPr>
                <m:t>,</m:t>
              </m:r>
              <m:sSub>
                <m:e>
                  <m:r>
                    <m:t>y</m:t>
                  </m:r>
                </m:e>
                <m:sub>
                  <m:r>
                    <m:t>R</m:t>
                  </m:r>
                  <m:r>
                    <m:rPr>
                      <m:sty m:val="p"/>
                    </m:rPr>
                    <m:t>,</m:t>
                  </m:r>
                  <m:r>
                    <m:t>c</m:t>
                  </m:r>
                </m:sub>
              </m:sSub>
              <m:r>
                <m:rPr>
                  <m:sty m:val="p"/>
                </m:rPr>
                <m:t>,</m:t>
              </m:r>
              <m:sSub>
                <m:e>
                  <m:r>
                    <m:t>y</m:t>
                  </m:r>
                </m:e>
                <m:sub>
                  <m:r>
                    <m:t>R</m:t>
                  </m:r>
                  <m:r>
                    <m:rPr>
                      <m:sty m:val="p"/>
                    </m:rPr>
                    <m:t>,</m:t>
                  </m:r>
                  <m:r>
                    <m:t>r</m:t>
                  </m:r>
                </m:sub>
              </m:sSub>
              <m:r>
                <m:rPr>
                  <m:sty m:val="p"/>
                </m:rPr>
                <m:t>,</m:t>
              </m:r>
              <m:sSub>
                <m:e>
                  <m:r>
                    <m:t>y</m:t>
                  </m:r>
                </m:e>
                <m:sub>
                  <m:r>
                    <m:t>D</m:t>
                  </m:r>
                  <m:r>
                    <m:rPr>
                      <m:sty m:val="p"/>
                    </m:rPr>
                    <m:t>,</m:t>
                  </m:r>
                  <m:r>
                    <m:t>e</m:t>
                  </m:r>
                </m:sub>
              </m:sSub>
              <m:r>
                <m:rPr>
                  <m:sty m:val="p"/>
                </m:rPr>
                <m:t>,</m:t>
              </m:r>
              <m:sSub>
                <m:e>
                  <m:r>
                    <m:t>y</m:t>
                  </m:r>
                </m:e>
                <m:sub>
                  <m:r>
                    <m:t>D</m:t>
                  </m:r>
                  <m:r>
                    <m:rPr>
                      <m:sty m:val="p"/>
                    </m:rPr>
                    <m:t>,</m:t>
                  </m:r>
                  <m:r>
                    <m:t>c</m:t>
                  </m:r>
                </m:sub>
              </m:sSub>
              <m:r>
                <m:rPr>
                  <m:sty m:val="p"/>
                </m:rPr>
                <m:t>,</m:t>
              </m:r>
              <m:sSub>
                <m:e>
                  <m:r>
                    <m:t>y</m:t>
                  </m:r>
                </m:e>
                <m:sub>
                  <m:r>
                    <m:t>D</m:t>
                  </m:r>
                  <m:r>
                    <m:rPr>
                      <m:sty m:val="p"/>
                    </m:rPr>
                    <m:t>,</m:t>
                  </m:r>
                  <m:r>
                    <m:t>r</m:t>
                  </m:r>
                </m:sub>
              </m:sSub>
              <m:r>
                <m:rPr>
                  <m:sty m:val="p"/>
                </m:rPr>
                <m:t>,</m:t>
              </m:r>
              <m:sSub>
                <m:e>
                  <m:r>
                    <m:t>y</m:t>
                  </m:r>
                </m:e>
                <m:sub>
                  <m:r>
                    <m:t>X</m:t>
                  </m:r>
                  <m:r>
                    <m:rPr>
                      <m:sty m:val="p"/>
                    </m:rPr>
                    <m:t>,</m:t>
                  </m:r>
                  <m:r>
                    <m:t>e</m:t>
                  </m:r>
                </m:sub>
              </m:sSub>
              <m:r>
                <m:rPr>
                  <m:sty m:val="p"/>
                </m:rPr>
                <m:t>,</m:t>
              </m:r>
              <m:sSub>
                <m:e>
                  <m:r>
                    <m:t>y</m:t>
                  </m:r>
                </m:e>
                <m:sub>
                  <m:r>
                    <m:t>X</m:t>
                  </m:r>
                  <m:r>
                    <m:rPr>
                      <m:sty m:val="p"/>
                    </m:rPr>
                    <m:t>,</m:t>
                  </m:r>
                  <m:r>
                    <m:t>c</m:t>
                  </m:r>
                </m:sub>
              </m:sSub>
              <m:r>
                <m:rPr>
                  <m:sty m:val="p"/>
                </m:rPr>
                <m:t>,</m:t>
              </m:r>
              <m:sSub>
                <m:e>
                  <m:r>
                    <m:t>y</m:t>
                  </m:r>
                </m:e>
                <m:sub>
                  <m:r>
                    <m:t>X</m:t>
                  </m:r>
                  <m:r>
                    <m:rPr>
                      <m:sty m:val="p"/>
                    </m:rPr>
                    <m:t>,</m:t>
                  </m:r>
                  <m:r>
                    <m:t>r</m:t>
                  </m:r>
                </m:sub>
              </m:sSub>
            </m:e>
          </m:d>
        </m:oMath>
      </m:oMathPara>
    </w:p>
    <w:p>
      <w:r>
        <w:pict>
          <v:rect style="width:0;height:1.5pt" o:hralign="center" o:hrstd="t" o:hr="t"/>
        </w:pict>
      </w:r>
    </w:p>
    <w:bookmarkEnd w:id="23"/>
    <w:bookmarkStart w:id="24" w:name="canonical-phase-decomposition"/>
    <w:p>
      <w:pPr>
        <w:pStyle w:val="Heading3"/>
      </w:pPr>
      <w:r>
        <w:t xml:space="preserve">4. Canonical Phase Decomposition</w:t>
      </w:r>
    </w:p>
    <w:p>
      <w:pPr>
        <w:pStyle w:val="FirstParagraph"/>
      </w:pPr>
      <w:r>
        <w:rPr>
          <w:bCs/>
          <w:b/>
        </w:rPr>
        <w:t xml:space="preserve">Lemma 1 (Orthonormal Phase Basis):</w:t>
      </w:r>
      <w:r>
        <w:t xml:space="preserve"> </w:t>
      </w:r>
      <w:r>
        <w:t xml:space="preserve">The 3-dimensional phase space ℝ³ admits a canonical orthonormal decomposition:</w:t>
      </w:r>
    </w:p>
    <w:p>
      <w:pPr>
        <w:pStyle w:val="BodyText"/>
      </w:pPr>
      <m:oMathPara>
        <m:oMathParaPr>
          <m:jc m:val="center"/>
        </m:oMathParaPr>
        <m:oMath>
          <m:r>
            <m:t>u</m:t>
          </m:r>
          <m:r>
            <m:rPr>
              <m:sty m:val="p"/>
            </m:rPr>
            <m:t>=</m:t>
          </m:r>
          <m:f>
            <m:fPr>
              <m:type m:val="bar"/>
            </m:fPr>
            <m:num>
              <m:r>
                <m:t>1</m:t>
              </m:r>
            </m:num>
            <m:den>
              <m:rad>
                <m:radPr>
                  <m:degHide m:val="on"/>
                </m:radPr>
                <m:deg/>
                <m:e>
                  <m:r>
                    <m:t>3</m:t>
                  </m:r>
                </m:e>
              </m:rad>
            </m:den>
          </m:f>
          <m:d>
            <m:dPr>
              <m:begChr m:val="("/>
              <m:endChr m:val=")"/>
              <m:sepChr m:val=""/>
              <m:grow/>
            </m:dPr>
            <m:e>
              <m:r>
                <m:t>1</m:t>
              </m:r>
              <m:r>
                <m:rPr>
                  <m:sty m:val="p"/>
                </m:rPr>
                <m:t>,</m:t>
              </m:r>
              <m:r>
                <m:t>1</m:t>
              </m:r>
              <m:r>
                <m:rPr>
                  <m:sty m:val="p"/>
                </m:rPr>
                <m:t>,</m:t>
              </m:r>
              <m:r>
                <m:t>1</m:t>
              </m:r>
            </m:e>
          </m:d>
          <m:r>
            <m:t> </m:t>
          </m:r>
          <m:r>
            <m:rPr>
              <m:nor/>
              <m:sty m:val="p"/>
            </m:rPr>
            <m:t>— Scale mode (sum over phases)</m:t>
          </m:r>
        </m:oMath>
      </m:oMathPara>
    </w:p>
    <w:p>
      <w:pPr>
        <w:pStyle w:val="FirstParagraph"/>
      </w:pPr>
      <m:oMathPara>
        <m:oMathParaPr>
          <m:jc m:val="center"/>
        </m:oMathParaPr>
        <m:oMath>
          <m:r>
            <m:t>v</m:t>
          </m:r>
          <m:r>
            <m:rPr>
              <m:sty m:val="p"/>
            </m:rPr>
            <m:t>=</m:t>
          </m:r>
          <m:f>
            <m:fPr>
              <m:type m:val="bar"/>
            </m:fPr>
            <m:num>
              <m:r>
                <m:t>1</m:t>
              </m:r>
            </m:num>
            <m:den>
              <m:rad>
                <m:radPr>
                  <m:degHide m:val="on"/>
                </m:radPr>
                <m:deg/>
                <m:e>
                  <m:r>
                    <m:t>6</m:t>
                  </m:r>
                </m:e>
              </m:rad>
            </m:den>
          </m:f>
          <m:d>
            <m:dPr>
              <m:begChr m:val="("/>
              <m:endChr m:val=")"/>
              <m:sepChr m:val=""/>
              <m:grow/>
            </m:dPr>
            <m:e>
              <m:r>
                <m:t>1</m:t>
              </m:r>
              <m:r>
                <m:rPr>
                  <m:sty m:val="p"/>
                </m:rPr>
                <m:t>,</m:t>
              </m:r>
              <m:r>
                <m:rPr>
                  <m:sty m:val="p"/>
                </m:rPr>
                <m:t>−</m:t>
              </m:r>
              <m:r>
                <m:t>2</m:t>
              </m:r>
              <m:r>
                <m:rPr>
                  <m:sty m:val="p"/>
                </m:rPr>
                <m:t>,</m:t>
              </m:r>
              <m:r>
                <m:t>1</m:t>
              </m:r>
            </m:e>
          </m:d>
          <m:r>
            <m:t> </m:t>
          </m:r>
          <m:r>
            <m:rPr>
              <m:nor/>
              <m:sty m:val="p"/>
            </m:rPr>
            <m:t>— Curvature mode (Crisis deviation)</m:t>
          </m:r>
        </m:oMath>
      </m:oMathPara>
    </w:p>
    <w:p>
      <w:pPr>
        <w:pStyle w:val="FirstParagraph"/>
      </w:pPr>
      <m:oMathPara>
        <m:oMathParaPr>
          <m:jc m:val="center"/>
        </m:oMathParaPr>
        <m:oMath>
          <m:r>
            <m:t>w</m:t>
          </m:r>
          <m:r>
            <m:rPr>
              <m:sty m:val="p"/>
            </m:rPr>
            <m:t>=</m:t>
          </m:r>
          <m:f>
            <m:fPr>
              <m:type m:val="bar"/>
            </m:fPr>
            <m:num>
              <m:r>
                <m:t>1</m:t>
              </m:r>
            </m:num>
            <m:den>
              <m:rad>
                <m:radPr>
                  <m:degHide m:val="on"/>
                </m:radPr>
                <m:deg/>
                <m:e>
                  <m:r>
                    <m:t>2</m:t>
                  </m:r>
                </m:e>
              </m:rad>
            </m:den>
          </m:f>
          <m:d>
            <m:dPr>
              <m:begChr m:val="("/>
              <m:endChr m:val=")"/>
              <m:sepChr m:val=""/>
              <m:grow/>
            </m:dPr>
            <m:e>
              <m:r>
                <m:t>1</m:t>
              </m:r>
              <m:r>
                <m:rPr>
                  <m:sty m:val="p"/>
                </m:rPr>
                <m:t>,</m:t>
              </m:r>
              <m:r>
                <m:t>0</m:t>
              </m:r>
              <m:r>
                <m:rPr>
                  <m:sty m:val="p"/>
                </m:rPr>
                <m:t>,</m:t>
              </m:r>
              <m:r>
                <m:rPr>
                  <m:sty m:val="p"/>
                </m:rPr>
                <m:t>−</m:t>
              </m:r>
              <m:r>
                <m:t>1</m:t>
              </m:r>
            </m:e>
          </m:d>
          <m:r>
            <m:t> </m:t>
          </m:r>
          <m:r>
            <m:rPr>
              <m:nor/>
              <m:sty m:val="p"/>
            </m:rPr>
            <m:t>— Oscillatory mode (Entry–Resolution difference)</m:t>
          </m:r>
        </m:oMath>
      </m:oMathPara>
    </w:p>
    <w:p>
      <w:pPr>
        <w:pStyle w:val="FirstParagraph"/>
      </w:pPr>
      <w:r>
        <w:rPr>
          <w:iCs/>
          <w:i/>
        </w:rPr>
        <w:t xml:space="preserve">Proof:</w:t>
      </w:r>
      <w:r>
        <w:t xml:space="preserve"> </w:t>
      </w:r>
      <w:r>
        <w:t xml:space="preserve">Direct verification:</w:t>
      </w:r>
      <w:r>
        <w:t xml:space="preserve"> </w:t>
      </w:r>
      <w:r>
        <w:t xml:space="preserve">- ⟨u, v⟩ = (1·1 + 1·(-2) + 1·1)/(√3·√6) = 0/√18 = 0</w:t>
      </w:r>
      <w:r>
        <w:t xml:space="preserve"> </w:t>
      </w:r>
      <w:r>
        <w:t xml:space="preserve">- ⟨u, w⟩ = (1·1 + 1·0 + 1·(-1))/(√3·√2) = 0/√6 = 0</w:t>
      </w:r>
      <w:r>
        <w:t xml:space="preserve"> </w:t>
      </w:r>
      <w:r>
        <w:t xml:space="preserve">- ⟨v, w⟩ = (1·1 + (-2)·0 + 1·(-1))/(√6·√2) = 0/√12 = 0</w:t>
      </w:r>
      <w:r>
        <w:t xml:space="preserve"> </w:t>
      </w:r>
      <w:r>
        <w:t xml:space="preserve">- ||u||² = (1+1+1)/3 = 1, ||v||² = (1+4+1)/6 = 1, ||w||² = (1+0+1)/2 = 1</w:t>
      </w:r>
    </w:p>
    <w:p>
      <w:pPr>
        <w:pStyle w:val="BodyText"/>
      </w:pPr>
      <w:r>
        <w:t xml:space="preserve">The set {u, v, w} is orthonormal and spans ℝ³. □</w:t>
      </w:r>
    </w:p>
    <w:p>
      <w:pPr>
        <w:pStyle w:val="BodyText"/>
      </w:pPr>
      <w:r>
        <w:rPr>
          <w:bCs/>
          <w:b/>
        </w:rPr>
        <w:t xml:space="preserve">Interpretation:</w:t>
      </w:r>
      <w:r>
        <w:t xml:space="preserve"> </w:t>
      </w:r>
      <w:r>
        <w:t xml:space="preserve">-</w:t>
      </w:r>
      <w:r>
        <w:t xml:space="preserve"> </w:t>
      </w:r>
      <w:r>
        <w:rPr>
          <w:bCs/>
          <w:b/>
        </w:rPr>
        <w:t xml:space="preserve">u</w:t>
      </w:r>
      <w:r>
        <w:t xml:space="preserve"> </w:t>
      </w:r>
      <w:r>
        <w:t xml:space="preserve">captures the total</w:t>
      </w:r>
      <w:r>
        <w:t xml:space="preserve"> </w:t>
      </w:r>
      <w:r>
        <w:t xml:space="preserve">“</w:t>
      </w:r>
      <w:r>
        <w:t xml:space="preserve">amount</w:t>
      </w:r>
      <w:r>
        <w:t xml:space="preserve">”</w:t>
      </w:r>
      <w:r>
        <w:t xml:space="preserve"> </w:t>
      </w:r>
      <w:r>
        <w:t xml:space="preserve">of a mode across all phases (scale/normalization)</w:t>
      </w:r>
      <w:r>
        <w:t xml:space="preserve"> </w:t>
      </w:r>
      <w:r>
        <w:t xml:space="preserve">-</w:t>
      </w:r>
      <w:r>
        <w:t xml:space="preserve"> </w:t>
      </w:r>
      <w:r>
        <w:rPr>
          <w:bCs/>
          <w:b/>
        </w:rPr>
        <w:t xml:space="preserve">v</w:t>
      </w:r>
      <w:r>
        <w:t xml:space="preserve"> </w:t>
      </w:r>
      <w:r>
        <w:t xml:space="preserve">captures how the Crisis phase deviates from the average of Entry and Resolution (curvature/stability)</w:t>
      </w:r>
      <w:r>
        <w:t xml:space="preserve"> </w:t>
      </w:r>
      <w:r>
        <w:t xml:space="preserve">-</w:t>
      </w:r>
      <w:r>
        <w:t xml:space="preserve"> </w:t>
      </w:r>
      <w:r>
        <w:rPr>
          <w:bCs/>
          <w:b/>
        </w:rPr>
        <w:t xml:space="preserve">w</w:t>
      </w:r>
      <w:r>
        <w:t xml:space="preserve"> </w:t>
      </w:r>
      <w:r>
        <w:t xml:space="preserve">captures the oscillation between Entry and Resolution (lag/timing)</w:t>
      </w:r>
    </w:p>
    <w:p>
      <w:r>
        <w:pict>
          <v:rect style="width:0;height:1.5pt" o:hralign="center" o:hrstd="t" o:hr="t"/>
        </w:pict>
      </w:r>
    </w:p>
    <w:bookmarkEnd w:id="24"/>
    <w:bookmarkEnd w:id="25"/>
    <w:bookmarkStart w:id="28" w:name="part-ii-self-reference-structure"/>
    <w:p>
      <w:pPr>
        <w:pStyle w:val="Heading2"/>
      </w:pPr>
      <w:r>
        <w:t xml:space="preserve">Part II: Self-Reference Structure</w:t>
      </w:r>
    </w:p>
    <w:bookmarkStart w:id="26" w:name="observability-and-gauge-redundancy"/>
    <w:p>
      <w:pPr>
        <w:pStyle w:val="Heading3"/>
      </w:pPr>
      <w:r>
        <w:t xml:space="preserve">5. Observability and Gauge Redundancy</w:t>
      </w:r>
    </w:p>
    <w:p>
      <w:pPr>
        <w:pStyle w:val="FirstParagraph"/>
      </w:pPr>
      <w:r>
        <w:rPr>
          <w:bCs/>
          <w:b/>
        </w:rPr>
        <w:t xml:space="preserve">Axiom 4 (Pair Observability):</w:t>
      </w:r>
      <w:r>
        <w:t xml:space="preserve"> </w:t>
      </w:r>
      <w:r>
        <w:t xml:space="preserve">Physical observables depend only on pair-sums, not on individual mode values within a pair. Specifically:</w:t>
      </w:r>
      <w:r>
        <w:t xml:space="preserve"> </w:t>
      </w:r>
      <w:r>
        <w:t xml:space="preserve">- Observables involving Existence depend on (S + R), not on S and R separately</w:t>
      </w:r>
      <w:r>
        <w:t xml:space="preserve"> </w:t>
      </w:r>
      <w:r>
        <w:t xml:space="preserve">- Observables involving Happening depend on (D + X), not on D and X separately</w:t>
      </w:r>
    </w:p>
    <w:p>
      <w:pPr>
        <w:pStyle w:val="BodyText"/>
      </w:pPr>
      <w:r>
        <w:t xml:space="preserve">Pair-differences represent gauge freedom: they can be varied without affecting any physical observable.</w:t>
      </w:r>
    </w:p>
    <w:p>
      <w:pPr>
        <w:pStyle w:val="BodyText"/>
      </w:pPr>
      <w:r>
        <w:rPr>
          <w:iCs/>
          <w:i/>
        </w:rPr>
        <w:t xml:space="preserve">Physical motivation:</w:t>
      </w:r>
      <w:r>
        <w:t xml:space="preserve"> </w:t>
      </w:r>
      <w:r>
        <w:t xml:space="preserve">This axiom reflects the DEF claim that the pairing structure is fundamental. Structure without Space is meaningless (what would</w:t>
      </w:r>
      <w:r>
        <w:t xml:space="preserve"> </w:t>
      </w:r>
      <w:r>
        <w:t xml:space="preserve">“</w:t>
      </w:r>
      <w:r>
        <w:t xml:space="preserve">exist</w:t>
      </w:r>
      <w:r>
        <w:t xml:space="preserve">”</w:t>
      </w:r>
      <w:r>
        <w:t xml:space="preserve"> </w:t>
      </w:r>
      <w:r>
        <w:t xml:space="preserve">without being</w:t>
      </w:r>
      <w:r>
        <w:t xml:space="preserve"> </w:t>
      </w:r>
      <w:r>
        <w:t xml:space="preserve">“</w:t>
      </w:r>
      <w:r>
        <w:t xml:space="preserve">somewhere</w:t>
      </w:r>
      <w:r>
        <w:t xml:space="preserve">”</w:t>
      </w:r>
      <w:r>
        <w:t xml:space="preserve">?). Dynamics without Exchange is equally meaningless (what would</w:t>
      </w:r>
      <w:r>
        <w:t xml:space="preserve"> </w:t>
      </w:r>
      <w:r>
        <w:t xml:space="preserve">“</w:t>
      </w:r>
      <w:r>
        <w:t xml:space="preserve">change</w:t>
      </w:r>
      <w:r>
        <w:t xml:space="preserve">”</w:t>
      </w:r>
      <w:r>
        <w:t xml:space="preserve"> </w:t>
      </w:r>
      <w:r>
        <w:t xml:space="preserve">without</w:t>
      </w:r>
      <w:r>
        <w:t xml:space="preserve"> </w:t>
      </w:r>
      <w:r>
        <w:t xml:space="preserve">“</w:t>
      </w:r>
      <w:r>
        <w:t xml:space="preserve">interacting</w:t>
      </w:r>
      <w:r>
        <w:t xml:space="preserve">”</w:t>
      </w:r>
      <w:r>
        <w:t xml:space="preserve">?). Only the combined pair has physical content.</w:t>
      </w:r>
    </w:p>
    <w:p>
      <w:pPr>
        <w:pStyle w:val="BodyText"/>
      </w:pPr>
      <w:r>
        <w:rPr>
          <w:bCs/>
          <w:b/>
        </w:rPr>
        <w:t xml:space="preserve">Definition 4 (Pair Difference Operators):</w:t>
      </w:r>
      <w:r>
        <w:t xml:space="preserve"> </w:t>
      </w:r>
      <w:r>
        <w:t xml:space="preserve">Define the internal difference operators:</w:t>
      </w:r>
    </w:p>
    <w:p>
      <w:pPr>
        <w:pStyle w:val="BodyText"/>
      </w:pPr>
      <m:oMathPara>
        <m:oMathParaPr>
          <m:jc m:val="center"/>
        </m:oMathParaPr>
        <m:oMath>
          <m:sSub>
            <m:e>
              <m:r>
                <m:t>Δ</m:t>
              </m:r>
            </m:e>
            <m:sub>
              <m:r>
                <m:t>E</m:t>
              </m:r>
            </m:sub>
          </m:sSub>
          <m:r>
            <m:rPr>
              <m:sty m:val="p"/>
            </m:rPr>
            <m:t>=</m:t>
          </m:r>
          <m:r>
            <m:t>S</m:t>
          </m:r>
          <m:r>
            <m:rPr>
              <m:sty m:val="p"/>
            </m:rPr>
            <m:t>−</m:t>
          </m:r>
          <m:r>
            <m:t>R</m:t>
          </m:r>
          <m:r>
            <m:t> </m:t>
          </m:r>
          <m:r>
            <m:rPr>
              <m:nor/>
              <m:sty m:val="p"/>
            </m:rPr>
            <m:t>(Existence-internal)</m:t>
          </m:r>
        </m:oMath>
      </m:oMathPara>
    </w:p>
    <w:p>
      <w:pPr>
        <w:pStyle w:val="FirstParagraph"/>
      </w:pPr>
      <m:oMathPara>
        <m:oMathParaPr>
          <m:jc m:val="center"/>
        </m:oMathParaPr>
        <m:oMath>
          <m:sSub>
            <m:e>
              <m:r>
                <m:t>Δ</m:t>
              </m:r>
            </m:e>
            <m:sub>
              <m:r>
                <m:t>H</m:t>
              </m:r>
            </m:sub>
          </m:sSub>
          <m:r>
            <m:rPr>
              <m:sty m:val="p"/>
            </m:rPr>
            <m:t>=</m:t>
          </m:r>
          <m:r>
            <m:t>D</m:t>
          </m:r>
          <m:r>
            <m:rPr>
              <m:sty m:val="p"/>
            </m:rPr>
            <m:t>−</m:t>
          </m:r>
          <m:r>
            <m:t>X</m:t>
          </m:r>
          <m:r>
            <m:t> </m:t>
          </m:r>
          <m:r>
            <m:rPr>
              <m:nor/>
              <m:sty m:val="p"/>
            </m:rPr>
            <m:t>(Happening-internal)</m:t>
          </m:r>
        </m:oMath>
      </m:oMathPara>
    </w:p>
    <w:p>
      <w:pPr>
        <w:pStyle w:val="FirstParagraph"/>
      </w:pPr>
      <w:r>
        <w:rPr>
          <w:bCs/>
          <w:b/>
        </w:rPr>
        <w:t xml:space="preserve">Definition 5 (Internal Gauge Modes):</w:t>
      </w:r>
      <w:r>
        <w:t xml:space="preserve"> </w:t>
      </w:r>
      <w:r>
        <w:t xml:space="preserve">An internal gauge mode is a direction in configuration space of the form Δ ⊗ φ, where Δ ∈ {Δ_E, Δ_H} is a pair difference and φ ∈ {u, v, w} is a phase profile.</w:t>
      </w:r>
    </w:p>
    <w:p>
      <w:pPr>
        <w:pStyle w:val="BodyText"/>
      </w:pPr>
      <w:r>
        <w:rPr>
          <w:bCs/>
          <w:b/>
        </w:rPr>
        <w:t xml:space="preserve">Theorem 2 (Internal Gauge Count):</w:t>
      </w:r>
      <w:r>
        <w:t xml:space="preserve"> </w:t>
      </w:r>
      <w:r>
        <w:t xml:space="preserve">Under Axiom 4, there exist exactly 6 internal gauge modes:</w:t>
      </w:r>
    </w:p>
    <w:p>
      <w:pPr>
        <w:pStyle w:val="BodyText"/>
      </w:pPr>
      <m:oMathPara>
        <m:oMathParaPr>
          <m:jc m:val="center"/>
        </m:oMathParaPr>
        <m:oMath>
          <m:sSub>
            <m:e>
              <m:r>
                <m:t>G</m:t>
              </m:r>
            </m:e>
            <m:sub>
              <m:r>
                <m:rPr>
                  <m:nor/>
                  <m:sty m:val="p"/>
                </m:rPr>
                <m:t>internal</m:t>
              </m:r>
            </m:sub>
          </m:sSub>
          <m:r>
            <m:rPr>
              <m:sty m:val="p"/>
            </m:rPr>
            <m:t>=</m:t>
          </m:r>
          <m:r>
            <m:rPr>
              <m:sty m:val="p"/>
            </m:rPr>
            <m:t>{</m:t>
          </m:r>
          <m:sSub>
            <m:e>
              <m:r>
                <m:t>Δ</m:t>
              </m:r>
            </m:e>
            <m:sub>
              <m:r>
                <m:t>E</m:t>
              </m:r>
            </m:sub>
          </m:sSub>
          <m:r>
            <m:rPr>
              <m:sty m:val="p"/>
            </m:rPr>
            <m:t>⊗</m:t>
          </m:r>
          <m:r>
            <m:t>u</m:t>
          </m:r>
          <m:r>
            <m:rPr>
              <m:sty m:val="p"/>
            </m:rPr>
            <m:t>,</m:t>
          </m:r>
          <m:sSub>
            <m:e>
              <m:r>
                <m:t>Δ</m:t>
              </m:r>
            </m:e>
            <m:sub>
              <m:r>
                <m:t>E</m:t>
              </m:r>
            </m:sub>
          </m:sSub>
          <m:r>
            <m:rPr>
              <m:sty m:val="p"/>
            </m:rPr>
            <m:t>⊗</m:t>
          </m:r>
          <m:r>
            <m:t>v</m:t>
          </m:r>
          <m:r>
            <m:rPr>
              <m:sty m:val="p"/>
            </m:rPr>
            <m:t>,</m:t>
          </m:r>
          <m:sSub>
            <m:e>
              <m:r>
                <m:t>Δ</m:t>
              </m:r>
            </m:e>
            <m:sub>
              <m:r>
                <m:t>E</m:t>
              </m:r>
            </m:sub>
          </m:sSub>
          <m:r>
            <m:rPr>
              <m:sty m:val="p"/>
            </m:rPr>
            <m:t>⊗</m:t>
          </m:r>
          <m:r>
            <m:t>w</m:t>
          </m:r>
          <m:r>
            <m:rPr>
              <m:sty m:val="p"/>
            </m:rPr>
            <m:t>,</m:t>
          </m:r>
          <m:sSub>
            <m:e>
              <m:r>
                <m:t>Δ</m:t>
              </m:r>
            </m:e>
            <m:sub>
              <m:r>
                <m:t>H</m:t>
              </m:r>
            </m:sub>
          </m:sSub>
          <m:r>
            <m:rPr>
              <m:sty m:val="p"/>
            </m:rPr>
            <m:t>⊗</m:t>
          </m:r>
          <m:r>
            <m:t>u</m:t>
          </m:r>
          <m:r>
            <m:rPr>
              <m:sty m:val="p"/>
            </m:rPr>
            <m:t>,</m:t>
          </m:r>
          <m:sSub>
            <m:e>
              <m:r>
                <m:t>Δ</m:t>
              </m:r>
            </m:e>
            <m:sub>
              <m:r>
                <m:t>H</m:t>
              </m:r>
            </m:sub>
          </m:sSub>
          <m:r>
            <m:rPr>
              <m:sty m:val="p"/>
            </m:rPr>
            <m:t>⊗</m:t>
          </m:r>
          <m:r>
            <m:t>v</m:t>
          </m:r>
          <m:r>
            <m:rPr>
              <m:sty m:val="p"/>
            </m:rPr>
            <m:t>,</m:t>
          </m:r>
          <m:sSub>
            <m:e>
              <m:r>
                <m:t>Δ</m:t>
              </m:r>
            </m:e>
            <m:sub>
              <m:r>
                <m:t>H</m:t>
              </m:r>
            </m:sub>
          </m:sSub>
          <m:r>
            <m:rPr>
              <m:sty m:val="p"/>
            </m:rPr>
            <m:t>⊗</m:t>
          </m:r>
          <m:r>
            <m:t>w</m:t>
          </m:r>
          <m:r>
            <m:rPr>
              <m:sty m:val="p"/>
            </m:rPr>
            <m:t>}</m:t>
          </m:r>
        </m:oMath>
      </m:oMathPara>
    </w:p>
    <w:p>
      <w:pPr>
        <w:pStyle w:val="FirstParagraph"/>
      </w:pPr>
      <w:r>
        <w:rPr>
          <w:iCs/>
          <w:i/>
        </w:rPr>
        <w:t xml:space="preserve">Proof:</w:t>
      </w:r>
      <w:r>
        <w:t xml:space="preserve"> </w:t>
      </w:r>
      <w:r>
        <w:t xml:space="preserve">1. By Axiom 4, any variation along Δ_E (changing S and R oppositely while keeping S+R fixed) leaves all Existence-observables invariant.</w:t>
      </w:r>
      <w:r>
        <w:t xml:space="preserve"> </w:t>
      </w:r>
      <w:r>
        <w:t xml:space="preserve">2. This variation can occur independently in each phase profile {u, v, w}, giving 3 independent gauge directions.</w:t>
      </w:r>
      <w:r>
        <w:t xml:space="preserve"> </w:t>
      </w:r>
      <w:r>
        <w:t xml:space="preserve">3. The same argument applies to Δ_H, giving another 3 independent gauge directions.</w:t>
      </w:r>
      <w:r>
        <w:t xml:space="preserve"> </w:t>
      </w:r>
      <w:r>
        <w:t xml:space="preserve">4. The two sets are linearly independent (Δ_E involves only S,R components; Δ_H involves only D,X components).</w:t>
      </w:r>
      <w:r>
        <w:t xml:space="preserve"> </w:t>
      </w:r>
      <w:r>
        <w:t xml:space="preserve">5. Therefore: dim(G_internal) = 3 + 3 = 6. □</w:t>
      </w:r>
    </w:p>
    <w:p>
      <w:r>
        <w:pict>
          <v:rect style="width:0;height:1.5pt" o:hralign="center" o:hrstd="t" o:hr="t"/>
        </w:pict>
      </w:r>
    </w:p>
    <w:bookmarkEnd w:id="26"/>
    <w:bookmarkStart w:id="27" w:name="global-fixing-and-interface-structure"/>
    <w:p>
      <w:pPr>
        <w:pStyle w:val="Heading3"/>
      </w:pPr>
      <w:r>
        <w:t xml:space="preserve">6. Global Fixing and Interface Structure</w:t>
      </w:r>
    </w:p>
    <w:p>
      <w:pPr>
        <w:pStyle w:val="FirstParagraph"/>
      </w:pPr>
      <w:r>
        <w:rPr>
          <w:bCs/>
          <w:b/>
        </w:rPr>
        <w:t xml:space="preserve">Axiom 5 (Global Constraints):</w:t>
      </w:r>
      <w:r>
        <w:t xml:space="preserve"> </w:t>
      </w:r>
      <w:r>
        <w:t xml:space="preserve">Closure conditions fix the scale (u) and curvature (v) directions globally, leaving only the oscillatory (w) direction unfixed at the interface between Existence and Happening.</w:t>
      </w:r>
    </w:p>
    <w:p>
      <w:pPr>
        <w:pStyle w:val="BodyText"/>
      </w:pPr>
      <w:r>
        <w:rPr>
          <w:iCs/>
          <w:i/>
        </w:rPr>
        <w:t xml:space="preserve">Physical motivation:</w:t>
      </w:r>
      <w:r>
        <w:t xml:space="preserve"> </w:t>
      </w:r>
      <w:r>
        <w:t xml:space="preserve">- The u-direction (scale) is fixed by energy conservation / normalization — the total</w:t>
      </w:r>
      <w:r>
        <w:t xml:space="preserve"> </w:t>
      </w:r>
      <w:r>
        <w:t xml:space="preserve">“</w:t>
      </w:r>
      <w:r>
        <w:t xml:space="preserve">amount</w:t>
      </w:r>
      <w:r>
        <w:t xml:space="preserve">”</w:t>
      </w:r>
      <w:r>
        <w:t xml:space="preserve"> </w:t>
      </w:r>
      <w:r>
        <w:t xml:space="preserve">of Existence and Happening is conserved.</w:t>
      </w:r>
      <w:r>
        <w:t xml:space="preserve"> </w:t>
      </w:r>
      <w:r>
        <w:t xml:space="preserve">- The v-direction (curvature) is fixed by stability requirements — the Crisis phase cannot deviate arbitrarily from Entry/Resolution without destabilizing the regime.</w:t>
      </w:r>
      <w:r>
        <w:t xml:space="preserve"> </w:t>
      </w:r>
      <w:r>
        <w:t xml:space="preserve">- The w-direction (oscillation) represents timing/lag between Existence and Happening, which is not globally constrained.</w:t>
      </w:r>
    </w:p>
    <w:p>
      <w:pPr>
        <w:pStyle w:val="BodyText"/>
      </w:pPr>
      <w:r>
        <w:rPr>
          <w:bCs/>
          <w:b/>
        </w:rPr>
        <w:t xml:space="preserve">Definition 6 (Interface Difference):</w:t>
      </w:r>
      <w:r>
        <w:t xml:space="preserve"> </w:t>
      </w:r>
      <w:r>
        <w:t xml:space="preserve">Define the Existence-Happening interface operator:</w:t>
      </w:r>
    </w:p>
    <w:p>
      <w:pPr>
        <w:pStyle w:val="BodyText"/>
      </w:pPr>
      <m:oMathPara>
        <m:oMathParaPr>
          <m:jc m:val="center"/>
        </m:oMathParaPr>
        <m:oMath>
          <m:sSub>
            <m:e>
              <m:r>
                <m:t>Δ</m:t>
              </m:r>
            </m:e>
            <m:sub>
              <m:r>
                <m:t>E</m:t>
              </m:r>
              <m:r>
                <m:rPr>
                  <m:sty m:val="p"/>
                </m:rPr>
                <m:t>−</m:t>
              </m:r>
              <m:r>
                <m:t>H</m:t>
              </m:r>
            </m:sub>
          </m:sSub>
          <m:r>
            <m:rPr>
              <m:sty m:val="p"/>
            </m:rPr>
            <m:t>=</m:t>
          </m:r>
          <m:d>
            <m:dPr>
              <m:begChr m:val="("/>
              <m:endChr m:val=")"/>
              <m:sepChr m:val=""/>
              <m:grow/>
            </m:dPr>
            <m:e>
              <m:r>
                <m:t>S</m:t>
              </m:r>
              <m:r>
                <m:rPr>
                  <m:sty m:val="p"/>
                </m:rPr>
                <m:t>+</m:t>
              </m:r>
              <m:r>
                <m:t>R</m:t>
              </m:r>
            </m:e>
          </m:d>
          <m:r>
            <m:rPr>
              <m:sty m:val="p"/>
            </m:rPr>
            <m:t>−</m:t>
          </m:r>
          <m:d>
            <m:dPr>
              <m:begChr m:val="("/>
              <m:endChr m:val=")"/>
              <m:sepChr m:val=""/>
              <m:grow/>
            </m:dPr>
            <m:e>
              <m:r>
                <m:t>D</m:t>
              </m:r>
              <m:r>
                <m:rPr>
                  <m:sty m:val="p"/>
                </m:rPr>
                <m:t>+</m:t>
              </m:r>
              <m:r>
                <m:t>X</m:t>
              </m:r>
            </m:e>
          </m:d>
        </m:oMath>
      </m:oMathPara>
    </w:p>
    <w:p>
      <w:pPr>
        <w:pStyle w:val="FirstParagraph"/>
      </w:pPr>
      <w:r>
        <w:t xml:space="preserve">This measures the total Existence minus total Happening.</w:t>
      </w:r>
    </w:p>
    <w:p>
      <w:pPr>
        <w:pStyle w:val="BodyText"/>
      </w:pPr>
      <w:r>
        <w:rPr>
          <w:bCs/>
          <w:b/>
        </w:rPr>
        <w:t xml:space="preserve">Theorem 3 (Interface Gauge Mode):</w:t>
      </w:r>
      <w:r>
        <w:t xml:space="preserve"> </w:t>
      </w:r>
      <w:r>
        <w:t xml:space="preserve">There exists exactly one interface gauge mode:</w:t>
      </w:r>
    </w:p>
    <w:p>
      <w:pPr>
        <w:pStyle w:val="BodyText"/>
      </w:pPr>
      <m:oMathPara>
        <m:oMathParaPr>
          <m:jc m:val="center"/>
        </m:oMathParaPr>
        <m:oMath>
          <m:sSub>
            <m:e>
              <m:r>
                <m:t>G</m:t>
              </m:r>
            </m:e>
            <m:sub>
              <m:r>
                <m:rPr>
                  <m:nor/>
                  <m:sty m:val="p"/>
                </m:rPr>
                <m:t>interface</m:t>
              </m:r>
            </m:sub>
          </m:sSub>
          <m:r>
            <m:rPr>
              <m:sty m:val="p"/>
            </m:rPr>
            <m:t>=</m:t>
          </m:r>
          <m:r>
            <m:rPr>
              <m:sty m:val="p"/>
            </m:rPr>
            <m:t>{</m:t>
          </m:r>
          <m:sSub>
            <m:e>
              <m:r>
                <m:t>Δ</m:t>
              </m:r>
            </m:e>
            <m:sub>
              <m:r>
                <m:t>E</m:t>
              </m:r>
              <m:r>
                <m:rPr>
                  <m:sty m:val="p"/>
                </m:rPr>
                <m:t>−</m:t>
              </m:r>
              <m:r>
                <m:t>H</m:t>
              </m:r>
            </m:sub>
          </m:sSub>
          <m:r>
            <m:rPr>
              <m:sty m:val="p"/>
            </m:rPr>
            <m:t>⊗</m:t>
          </m:r>
          <m:r>
            <m:t>w</m:t>
          </m:r>
          <m:r>
            <m:rPr>
              <m:sty m:val="p"/>
            </m:rPr>
            <m:t>}</m:t>
          </m:r>
        </m:oMath>
      </m:oMathPara>
    </w:p>
    <w:p>
      <w:pPr>
        <w:pStyle w:val="FirstParagraph"/>
      </w:pPr>
      <w:r>
        <w:rPr>
          <w:iCs/>
          <w:i/>
        </w:rPr>
        <w:t xml:space="preserve">Proof:</w:t>
      </w:r>
      <w:r>
        <w:t xml:space="preserve"> </w:t>
      </w:r>
      <w:r>
        <w:t xml:space="preserve">1. The interface difference Δ_{E-H} represents the relative balance between Existence and Happening as wholes.</w:t>
      </w:r>
      <w:r>
        <w:t xml:space="preserve"> </w:t>
      </w:r>
      <w:r>
        <w:t xml:space="preserve">2. By Axiom 5, this difference is constrained in the u-direction (by closure/normalization) and in the v-direction (by stability).</w:t>
      </w:r>
      <w:r>
        <w:t xml:space="preserve"> </w:t>
      </w:r>
      <w:r>
        <w:t xml:space="preserve">3. Only the w-direction remains as a free gauge parameter — it represents the timing/lag between when Existence and Happening</w:t>
      </w:r>
      <w:r>
        <w:t xml:space="preserve"> </w:t>
      </w:r>
      <w:r>
        <w:t xml:space="preserve">“</w:t>
      </w:r>
      <w:r>
        <w:t xml:space="preserve">peak</w:t>
      </w:r>
      <w:r>
        <w:t xml:space="preserve">”</w:t>
      </w:r>
      <w:r>
        <w:t xml:space="preserve"> </w:t>
      </w:r>
      <w:r>
        <w:t xml:space="preserve">in their Entry-Resolution oscillation.</w:t>
      </w:r>
      <w:r>
        <w:t xml:space="preserve"> </w:t>
      </w:r>
      <w:r>
        <w:t xml:space="preserve">4. This is a single direction, independent of the 6 internal gauge modes (which preserve pair-sums, while this one shifts the balance between pairs).</w:t>
      </w:r>
      <w:r>
        <w:t xml:space="preserve"> </w:t>
      </w:r>
      <w:r>
        <w:t xml:space="preserve">5. Therefore: dim(G_interface) = 1. □</w:t>
      </w:r>
    </w:p>
    <w:p>
      <w:pPr>
        <w:pStyle w:val="BodyText"/>
      </w:pPr>
      <w:r>
        <w:rPr>
          <w:bCs/>
          <w:b/>
        </w:rPr>
        <w:t xml:space="preserve">Corollary 1 (Total Self-Reference Count):</w:t>
      </w:r>
      <w:r>
        <w:t xml:space="preserve"> </w:t>
      </w:r>
      <w:r>
        <w:t xml:space="preserve">The total number of self-reference (gauge) modes is:</w:t>
      </w:r>
    </w:p>
    <w:p>
      <w:pPr>
        <w:pStyle w:val="BodyText"/>
      </w:pPr>
      <m:oMathPara>
        <m:oMathParaPr>
          <m:jc m:val="center"/>
        </m:oMathParaPr>
        <m:oMath>
          <m:r>
            <m:t>k</m:t>
          </m:r>
          <m:r>
            <m:rPr>
              <m:sty m:val="p"/>
            </m:rPr>
            <m:t>=</m:t>
          </m:r>
          <m:r>
            <m:rPr>
              <m:sty m:val="p"/>
            </m:rPr>
            <m:t>dim</m:t>
          </m:r>
          <m:d>
            <m:dPr>
              <m:begChr m:val="("/>
              <m:endChr m:val=")"/>
              <m:sepChr m:val=""/>
              <m:grow/>
            </m:dPr>
            <m:e>
              <m:sSub>
                <m:e>
                  <m:r>
                    <m:t>G</m:t>
                  </m:r>
                </m:e>
                <m:sub>
                  <m:r>
                    <m:rPr>
                      <m:nor/>
                      <m:sty m:val="p"/>
                    </m:rPr>
                    <m:t>internal</m:t>
                  </m:r>
                </m:sub>
              </m:sSub>
            </m:e>
          </m:d>
          <m:r>
            <m:rPr>
              <m:sty m:val="p"/>
            </m:rPr>
            <m:t>+</m:t>
          </m:r>
          <m:r>
            <m:rPr>
              <m:sty m:val="p"/>
            </m:rPr>
            <m:t>dim</m:t>
          </m:r>
          <m:d>
            <m:dPr>
              <m:begChr m:val="("/>
              <m:endChr m:val=")"/>
              <m:sepChr m:val=""/>
              <m:grow/>
            </m:dPr>
            <m:e>
              <m:sSub>
                <m:e>
                  <m:r>
                    <m:t>G</m:t>
                  </m:r>
                </m:e>
                <m:sub>
                  <m:r>
                    <m:rPr>
                      <m:nor/>
                      <m:sty m:val="p"/>
                    </m:rPr>
                    <m:t>interface</m:t>
                  </m:r>
                </m:sub>
              </m:sSub>
            </m:e>
          </m:d>
          <m:r>
            <m:rPr>
              <m:sty m:val="p"/>
            </m:rPr>
            <m:t>=</m:t>
          </m:r>
          <m:r>
            <m:t>6</m:t>
          </m:r>
          <m:r>
            <m:rPr>
              <m:sty m:val="p"/>
            </m:rPr>
            <m:t>+</m:t>
          </m:r>
          <m:r>
            <m:t>1</m:t>
          </m:r>
          <m:r>
            <m:rPr>
              <m:sty m:val="p"/>
            </m:rPr>
            <m:t>=</m:t>
          </m:r>
          <m:r>
            <m:t>7</m:t>
          </m:r>
        </m:oMath>
      </m:oMathPara>
    </w:p>
    <w:p>
      <w:pPr>
        <w:pStyle w:val="FirstParagraph"/>
      </w:pPr>
      <w:r>
        <w:rPr>
          <w:bCs/>
          <w:b/>
        </w:rPr>
        <w:t xml:space="preserve">Explicit Enumeration:</w:t>
      </w:r>
      <w:r>
        <w:t xml:space="preserve"> </w:t>
      </w:r>
      <w:r>
        <w:t xml:space="preserve">| # | Mode | Description |</w:t>
      </w:r>
      <w:r>
        <w:t xml:space="preserve"> </w:t>
      </w:r>
      <w:r>
        <w:t xml:space="preserve">|—|——|————-|</w:t>
      </w:r>
      <w:r>
        <w:t xml:space="preserve"> </w:t>
      </w:r>
      <w:r>
        <w:t xml:space="preserve">| 1 | Δ_E ⊗ u | Existence-internal scale gauge |</w:t>
      </w:r>
      <w:r>
        <w:t xml:space="preserve"> </w:t>
      </w:r>
      <w:r>
        <w:t xml:space="preserve">| 2 | Δ_E ⊗ v | Existence-internal curvature gauge |</w:t>
      </w:r>
      <w:r>
        <w:t xml:space="preserve"> </w:t>
      </w:r>
      <w:r>
        <w:t xml:space="preserve">| 3 | Δ_E ⊗ w | Existence-internal oscillation gauge |</w:t>
      </w:r>
      <w:r>
        <w:t xml:space="preserve"> </w:t>
      </w:r>
      <w:r>
        <w:t xml:space="preserve">| 4 | Δ_H ⊗ u | Happening-internal scale gauge |</w:t>
      </w:r>
      <w:r>
        <w:t xml:space="preserve"> </w:t>
      </w:r>
      <w:r>
        <w:t xml:space="preserve">| 5 | Δ_H ⊗ v | Happening-internal curvature gauge |</w:t>
      </w:r>
      <w:r>
        <w:t xml:space="preserve"> </w:t>
      </w:r>
      <w:r>
        <w:t xml:space="preserve">| 6 | Δ_H ⊗ w | Happening-internal oscillation gauge |</w:t>
      </w:r>
      <w:r>
        <w:t xml:space="preserve"> </w:t>
      </w:r>
      <w:r>
        <w:t xml:space="preserve">| 7 | Δ_{E-H} ⊗ w | Interface oscillation gauge (the</w:t>
      </w:r>
      <w:r>
        <w:t xml:space="preserve"> </w:t>
      </w:r>
      <w:r>
        <w:t xml:space="preserve">“</w:t>
      </w:r>
      <w:r>
        <w:t xml:space="preserve">lag</w:t>
      </w:r>
      <w:r>
        <w:t xml:space="preserve">”</w:t>
      </w:r>
      <w:r>
        <w:t xml:space="preserve">) |</w:t>
      </w:r>
    </w:p>
    <w:p>
      <w:r>
        <w:pict>
          <v:rect style="width:0;height:1.5pt" o:hralign="center" o:hrstd="t" o:hr="t"/>
        </w:pict>
      </w:r>
    </w:p>
    <w:bookmarkEnd w:id="27"/>
    <w:bookmarkEnd w:id="28"/>
    <w:bookmarkStart w:id="32" w:name="part-iii-the-coupling-operator-space"/>
    <w:p>
      <w:pPr>
        <w:pStyle w:val="Heading2"/>
      </w:pPr>
      <w:r>
        <w:t xml:space="preserve">Part III: The Coupling Operator Space</w:t>
      </w:r>
    </w:p>
    <w:bookmarkStart w:id="29" w:name="bilinear-structure-of-physical-coupling"/>
    <w:p>
      <w:pPr>
        <w:pStyle w:val="Heading3"/>
      </w:pPr>
      <w:r>
        <w:t xml:space="preserve">7. Bilinear Structure of Physical Coupling</w:t>
      </w:r>
    </w:p>
    <w:p>
      <w:pPr>
        <w:pStyle w:val="FirstParagraph"/>
      </w:pPr>
      <w:r>
        <w:rPr>
          <w:bCs/>
          <w:b/>
        </w:rPr>
        <w:t xml:space="preserve">Definition 7 (Coupling Operator):</w:t>
      </w:r>
      <w:r>
        <w:t xml:space="preserve"> </w:t>
      </w:r>
      <w:r>
        <w:t xml:space="preserve">A physical coupling is a bilinear form on the configuration space:</w:t>
      </w:r>
    </w:p>
    <w:p>
      <w:pPr>
        <w:pStyle w:val="BodyText"/>
      </w:pPr>
      <m:oMathPara>
        <m:oMathParaPr>
          <m:jc m:val="center"/>
        </m:oMathParaPr>
        <m:oMath>
          <m:r>
            <m:t>I</m:t>
          </m:r>
          <m:d>
            <m:dPr>
              <m:begChr m:val="("/>
              <m:endChr m:val=")"/>
              <m:sepChr m:val=""/>
              <m:grow/>
            </m:dPr>
            <m:e>
              <m:r>
                <m:t>y</m:t>
              </m:r>
            </m:e>
          </m:d>
          <m:r>
            <m:rPr>
              <m:sty m:val="p"/>
            </m:rPr>
            <m:t>=</m:t>
          </m:r>
          <m:sSup>
            <m:e>
              <m:r>
                <m:t>y</m:t>
              </m:r>
            </m:e>
            <m:sup>
              <m:r>
                <m:rPr>
                  <m:sty m:val="p"/>
                </m:rPr>
                <m:t>⊤</m:t>
              </m:r>
            </m:sup>
          </m:sSup>
          <m:r>
            <m:t>K</m:t>
          </m:r>
          <m:r>
            <m:t>y</m:t>
          </m:r>
        </m:oMath>
      </m:oMathPara>
    </w:p>
    <w:p>
      <w:pPr>
        <w:pStyle w:val="FirstParagraph"/>
      </w:pPr>
      <w:r>
        <w:t xml:space="preserve">where K is a linear operator on ℝⁿ and y ∈ ℝⁿ is a configuration state.</w:t>
      </w:r>
    </w:p>
    <w:p>
      <w:pPr>
        <w:pStyle w:val="BodyText"/>
      </w:pPr>
      <w:r>
        <w:rPr>
          <w:iCs/>
          <w:i/>
        </w:rPr>
        <w:t xml:space="preserve">Physical motivation:</w:t>
      </w:r>
      <w:r>
        <w:t xml:space="preserve"> </w:t>
      </w:r>
      <w:r>
        <w:t xml:space="preserve">This is the standard form for interaction energies, quadratic Hamiltonians, and coupling terms in physics. The bilinear structure reflects that coupling connects two</w:t>
      </w:r>
      <w:r>
        <w:t xml:space="preserve"> </w:t>
      </w:r>
      <w:r>
        <w:t xml:space="preserve">“</w:t>
      </w:r>
      <w:r>
        <w:t xml:space="preserve">slots</w:t>
      </w:r>
      <w:r>
        <w:t xml:space="preserve">”</w:t>
      </w:r>
      <w:r>
        <w:t xml:space="preserve"> </w:t>
      </w:r>
      <w:r>
        <w:t xml:space="preserve">— it describes how one part of a configuration relates to another.</w:t>
      </w:r>
    </w:p>
    <w:p>
      <w:pPr>
        <w:pStyle w:val="BodyText"/>
      </w:pPr>
      <w:r>
        <w:rPr>
          <w:bCs/>
          <w:b/>
        </w:rPr>
        <w:t xml:space="preserve">Lemma 2 (Raw Operator Dimension):</w:t>
      </w:r>
      <w:r>
        <w:t xml:space="preserve"> </w:t>
      </w:r>
      <w:r>
        <w:t xml:space="preserve">The space of linear operators on ℝⁿ has dimension:</w:t>
      </w:r>
    </w:p>
    <w:p>
      <w:pPr>
        <w:pStyle w:val="BodyText"/>
      </w:pPr>
      <m:oMathPara>
        <m:oMathParaPr>
          <m:jc m:val="center"/>
        </m:oMathParaPr>
        <m:oMath>
          <m:r>
            <m:rPr>
              <m:sty m:val="p"/>
            </m:rPr>
            <m:t>dim</m:t>
          </m:r>
          <m:d>
            <m:dPr>
              <m:begChr m:val="("/>
              <m:endChr m:val=")"/>
              <m:sepChr m:val=""/>
              <m:grow/>
            </m:dPr>
            <m:e>
              <m:r>
                <m:rPr>
                  <m:nor/>
                  <m:sty m:val="p"/>
                </m:rPr>
                <m:t>End</m:t>
              </m:r>
              <m:d>
                <m:dPr>
                  <m:begChr m:val="("/>
                  <m:endChr m:val=")"/>
                  <m:sepChr m:val=""/>
                  <m:grow/>
                </m:dPr>
                <m:e>
                  <m:sSup>
                    <m:e>
                      <m:r>
                        <m:rPr>
                          <m:sty m:val="p"/>
                          <m:scr m:val="double-struck"/>
                        </m:rPr>
                        <m:t>R</m:t>
                      </m:r>
                    </m:e>
                    <m:sup>
                      <m:r>
                        <m:t>n</m:t>
                      </m:r>
                    </m:sup>
                  </m:sSup>
                </m:e>
              </m:d>
            </m:e>
          </m:d>
          <m:r>
            <m:rPr>
              <m:sty m:val="p"/>
            </m:rPr>
            <m:t>=</m:t>
          </m:r>
          <m:sSup>
            <m:e>
              <m:r>
                <m:t>n</m:t>
              </m:r>
            </m:e>
            <m:sup>
              <m:r>
                <m:t>2</m:t>
              </m:r>
            </m:sup>
          </m:sSup>
        </m:oMath>
      </m:oMathPara>
    </w:p>
    <w:p>
      <w:pPr>
        <w:pStyle w:val="FirstParagraph"/>
      </w:pPr>
      <w:r>
        <w:t xml:space="preserve">For n = 12:</w:t>
      </w:r>
    </w:p>
    <w:p>
      <w:pPr>
        <w:pStyle w:val="BodyText"/>
      </w:pPr>
      <m:oMathPara>
        <m:oMathParaPr>
          <m:jc m:val="center"/>
        </m:oMathParaPr>
        <m:oMath>
          <m:r>
            <m:rPr>
              <m:sty m:val="p"/>
            </m:rPr>
            <m:t>dim</m:t>
          </m:r>
          <m:d>
            <m:dPr>
              <m:begChr m:val="("/>
              <m:endChr m:val=")"/>
              <m:sepChr m:val=""/>
              <m:grow/>
            </m:dPr>
            <m:e>
              <m:r>
                <m:rPr>
                  <m:nor/>
                  <m:sty m:val="p"/>
                </m:rPr>
                <m:t>End</m:t>
              </m:r>
              <m:d>
                <m:dPr>
                  <m:begChr m:val="("/>
                  <m:endChr m:val=")"/>
                  <m:sepChr m:val=""/>
                  <m:grow/>
                </m:dPr>
                <m:e>
                  <m:sSup>
                    <m:e>
                      <m:r>
                        <m:rPr>
                          <m:sty m:val="p"/>
                          <m:scr m:val="double-struck"/>
                        </m:rPr>
                        <m:t>R</m:t>
                      </m:r>
                    </m:e>
                    <m:sup>
                      <m:r>
                        <m:t>12</m:t>
                      </m:r>
                    </m:sup>
                  </m:sSup>
                </m:e>
              </m:d>
            </m:e>
          </m:d>
          <m:r>
            <m:rPr>
              <m:sty m:val="p"/>
            </m:rPr>
            <m:t>=</m:t>
          </m:r>
          <m:r>
            <m:t>144</m:t>
          </m:r>
        </m:oMath>
      </m:oMathPara>
    </w:p>
    <w:p>
      <w:pPr>
        <w:pStyle w:val="FirstParagraph"/>
      </w:pPr>
      <w:r>
        <w:rPr>
          <w:iCs/>
          <w:i/>
        </w:rPr>
        <w:t xml:space="preserve">Proof:</w:t>
      </w:r>
      <w:r>
        <w:t xml:space="preserve"> </w:t>
      </w:r>
      <w:r>
        <w:t xml:space="preserve">A linear operator is represented by an n×n matrix, which has n² entries. □</w:t>
      </w:r>
    </w:p>
    <w:p>
      <w:pPr>
        <w:pStyle w:val="BodyText"/>
      </w:pPr>
      <w:r>
        <w:rPr>
          <w:iCs/>
          <w:i/>
        </w:rPr>
        <w:t xml:space="preserve">Remark:</w:t>
      </w:r>
      <w:r>
        <w:t xml:space="preserve"> </w:t>
      </w:r>
      <w:r>
        <w:t xml:space="preserve">We use the full operator space (144) rather than symmetric operators (78) because the gauge reduction argument applies to either case with the same structural result, and the full space is more fundamental.</w:t>
      </w:r>
    </w:p>
    <w:p>
      <w:r>
        <w:pict>
          <v:rect style="width:0;height:1.5pt" o:hralign="center" o:hrstd="t" o:hr="t"/>
        </w:pict>
      </w:r>
    </w:p>
    <w:bookmarkEnd w:id="29"/>
    <w:bookmarkStart w:id="30" w:name="gauge-constraints-and-quotient-structure"/>
    <w:p>
      <w:pPr>
        <w:pStyle w:val="Heading3"/>
      </w:pPr>
      <w:r>
        <w:t xml:space="preserve">8. Gauge Constraints and Quotient Structure</w:t>
      </w:r>
    </w:p>
    <w:p>
      <w:pPr>
        <w:pStyle w:val="FirstParagraph"/>
      </w:pPr>
      <w:r>
        <w:rPr>
          <w:bCs/>
          <w:b/>
        </w:rPr>
        <w:t xml:space="preserve">Axiom 7 (Quotient Structure):</w:t>
      </w:r>
      <w:r>
        <w:t xml:space="preserve"> </w:t>
      </w:r>
      <w:r>
        <w:t xml:space="preserve">Physical coupling operators act on the quotient space Ω/G, where G = span{g₁, …, g_k} is the gauge subspace spanned by the k = 7 self-reference modes.</w:t>
      </w:r>
    </w:p>
    <w:p>
      <w:pPr>
        <w:pStyle w:val="BodyText"/>
      </w:pPr>
      <w:r>
        <w:rPr>
          <w:iCs/>
          <w:i/>
        </w:rPr>
        <w:t xml:space="preserve">Physical motivation:</w:t>
      </w:r>
      <w:r>
        <w:t xml:space="preserve"> </w:t>
      </w:r>
      <w:r>
        <w:t xml:space="preserve">If a direction g_a is unobservable (gauge), then physical couplings cannot distinguish states that differ only along g_a. Mathematically, physical operators factor through the quotient Ω/G.</w:t>
      </w:r>
    </w:p>
    <w:p>
      <w:pPr>
        <w:pStyle w:val="BodyText"/>
      </w:pPr>
      <w:r>
        <w:rPr>
          <w:bCs/>
          <w:b/>
        </w:rPr>
        <w:t xml:space="preserve">Definition 8 (Physical Operator Space):</w:t>
      </w:r>
      <w:r>
        <w:t xml:space="preserve"> </w:t>
      </w:r>
      <w:r>
        <w:t xml:space="preserve">The physical operator space is:</w:t>
      </w:r>
    </w:p>
    <w:p>
      <w:pPr>
        <w:pStyle w:val="BodyText"/>
      </w:pPr>
      <m:oMathPara>
        <m:oMathParaPr>
          <m:jc m:val="center"/>
        </m:oMathParaPr>
        <m:oMath>
          <m:sSub>
            <m:e>
              <m:r>
                <m:rPr>
                  <m:sty m:val="p"/>
                  <m:scr m:val="script"/>
                </m:rPr>
                <m:t>K</m:t>
              </m:r>
            </m:e>
            <m:sub>
              <m:r>
                <m:rPr>
                  <m:nor/>
                  <m:sty m:val="p"/>
                </m:rPr>
                <m:t>phys</m:t>
              </m:r>
            </m:sub>
          </m:sSub>
          <m:r>
            <m:rPr>
              <m:sty m:val="p"/>
            </m:rPr>
            <m:t>=</m:t>
          </m:r>
          <m:r>
            <m:rPr>
              <m:nor/>
              <m:sty m:val="p"/>
            </m:rPr>
            <m:t>End</m:t>
          </m:r>
          <m:d>
            <m:dPr>
              <m:begChr m:val="("/>
              <m:endChr m:val=")"/>
              <m:sepChr m:val=""/>
              <m:grow/>
            </m:dPr>
            <m:e>
              <m:r>
                <m:t>Ω</m:t>
              </m:r>
              <m:r>
                <m:rPr>
                  <m:sty m:val="p"/>
                </m:rPr>
                <m:t>/</m:t>
              </m:r>
              <m:r>
                <m:t>G</m:t>
              </m:r>
            </m:e>
          </m:d>
        </m:oMath>
      </m:oMathPara>
    </w:p>
    <w:p>
      <w:pPr>
        <w:pStyle w:val="FirstParagraph"/>
      </w:pPr>
      <w:r>
        <w:rPr>
          <w:bCs/>
          <w:b/>
        </w:rPr>
        <w:t xml:space="preserve">Theorem 4 (Effective Operator Dimension):</w:t>
      </w:r>
      <w:r>
        <w:t xml:space="preserve"> </w:t>
      </w:r>
      <w:r>
        <w:t xml:space="preserve">The physical operator space has dimension:</w:t>
      </w:r>
    </w:p>
    <w:p>
      <w:pPr>
        <w:pStyle w:val="BodyText"/>
      </w:pPr>
      <m:oMathPara>
        <m:oMathParaPr>
          <m:jc m:val="center"/>
        </m:oMathParaPr>
        <m:oMath>
          <m:r>
            <m:t>N</m:t>
          </m:r>
          <m:r>
            <m:rPr>
              <m:sty m:val="p"/>
            </m:rPr>
            <m:t>=</m:t>
          </m:r>
          <m:sSup>
            <m:e>
              <m:r>
                <m:t>n</m:t>
              </m:r>
            </m:e>
            <m:sup>
              <m:r>
                <m:t>2</m:t>
              </m:r>
            </m:sup>
          </m:sSup>
          <m:r>
            <m:rPr>
              <m:sty m:val="p"/>
            </m:rPr>
            <m:t>−</m:t>
          </m:r>
          <m:r>
            <m:t>k</m:t>
          </m:r>
          <m:r>
            <m:rPr>
              <m:sty m:val="p"/>
            </m:rPr>
            <m:t>=</m:t>
          </m:r>
          <m:r>
            <m:t>144</m:t>
          </m:r>
          <m:r>
            <m:rPr>
              <m:sty m:val="p"/>
            </m:rPr>
            <m:t>−</m:t>
          </m:r>
          <m:r>
            <m:t>7</m:t>
          </m:r>
          <m:r>
            <m:rPr>
              <m:sty m:val="p"/>
            </m:rPr>
            <m:t>=</m:t>
          </m:r>
          <m:r>
            <m:t>137</m:t>
          </m:r>
        </m:oMath>
      </m:oMathPara>
    </w:p>
    <w:p>
      <w:pPr>
        <w:pStyle w:val="FirstParagraph"/>
      </w:pPr>
      <w:r>
        <w:rPr>
          <w:iCs/>
          <w:i/>
        </w:rPr>
        <w:t xml:space="preserve">Proof:</w:t>
      </w:r>
      <w:r>
        <w:t xml:space="preserve"> </w:t>
      </w:r>
      <w:r>
        <w:t xml:space="preserve">1. The quotient space Ω/G has dimension n - k = 12 - 7 = 5.</w:t>
      </w:r>
      <w:r>
        <w:t xml:space="preserve"> </w:t>
      </w:r>
      <w:r>
        <w:t xml:space="preserve">2. However, the coupling operator K acts on pairs of configurations (bilinear), so we must count how the gauge constraints reduce the operator space, not just the state space.</w:t>
      </w:r>
      <w:r>
        <w:t xml:space="preserve"> </w:t>
      </w:r>
      <w:r>
        <w:t xml:space="preserve">3. Each gauge direction g_a imposes the constraint that K must satisfy: for any y, K(y + λg_a) and K(y) must yield the same physical coupling. This is a linear constraint on K.</w:t>
      </w:r>
      <w:r>
        <w:t xml:space="preserve"> </w:t>
      </w:r>
      <w:r>
        <w:t xml:space="preserve">4. With k independent gauge directions, we get k independent linear constraints on the n²-dimensional operator space.</w:t>
      </w:r>
      <w:r>
        <w:t xml:space="preserve"> </w:t>
      </w:r>
      <w:r>
        <w:t xml:space="preserve">5. Therefore: dim(K_phys) = n² - k = 144 - 7 = 137. □</w:t>
      </w:r>
    </w:p>
    <w:p>
      <w:pPr>
        <w:pStyle w:val="BodyText"/>
      </w:pPr>
      <w:r>
        <w:rPr>
          <w:iCs/>
          <w:i/>
        </w:rPr>
        <w:t xml:space="preserve">Remark:</w:t>
      </w:r>
      <w:r>
        <w:t xml:space="preserve"> </w:t>
      </w:r>
      <w:r>
        <w:t xml:space="preserve">The key insight is that each gauge mode removes one operator degree of freedom, not one squared. This is because gauge invariance is a linear (not quadratic) constraint on the operator.</w:t>
      </w:r>
    </w:p>
    <w:p>
      <w:r>
        <w:pict>
          <v:rect style="width:0;height:1.5pt" o:hralign="center" o:hrstd="t" o:hr="t"/>
        </w:pict>
      </w:r>
    </w:p>
    <w:bookmarkEnd w:id="30"/>
    <w:bookmarkStart w:id="31" w:name="Xf9c5e44393361eff40870aeff4f8cd004f81193"/>
    <w:p>
      <w:pPr>
        <w:pStyle w:val="Heading3"/>
      </w:pPr>
      <w:r>
        <w:t xml:space="preserve">9. Identification of Electromagnetic Coupling</w:t>
      </w:r>
    </w:p>
    <w:p>
      <w:pPr>
        <w:pStyle w:val="FirstParagraph"/>
      </w:pPr>
      <w:r>
        <w:rPr>
          <w:bCs/>
          <w:b/>
        </w:rPr>
        <w:t xml:space="preserve">Definition 9 (Interface Coupling):</w:t>
      </w:r>
      <w:r>
        <w:t xml:space="preserve"> </w:t>
      </w:r>
      <w:r>
        <w:t xml:space="preserve">The electromagnetic coupling is identified with the unique coupling mode associated with the interface gauge direction G_interface = Δ_{E-H} ⊗ w.</w:t>
      </w:r>
    </w:p>
    <w:p>
      <w:pPr>
        <w:pStyle w:val="BodyText"/>
      </w:pPr>
      <w:r>
        <w:rPr>
          <w:bCs/>
          <w:b/>
        </w:rPr>
        <w:t xml:space="preserve">Theorem 5 (U(1) Correspondence):</w:t>
      </w:r>
      <w:r>
        <w:t xml:space="preserve"> </w:t>
      </w:r>
      <w:r>
        <w:t xml:space="preserve">The interface gauge structure corresponds to U(1) gauge symmetry.</w:t>
      </w:r>
    </w:p>
    <w:p>
      <w:pPr>
        <w:pStyle w:val="BodyText"/>
      </w:pPr>
      <w:r>
        <w:rPr>
          <w:iCs/>
          <w:i/>
        </w:rPr>
        <w:t xml:space="preserve">Argument:</w:t>
      </w:r>
      <w:r>
        <w:t xml:space="preserve"> </w:t>
      </w:r>
      <w:r>
        <w:t xml:space="preserve">1. The interface mode is one-dimensional (Theorem 3).</w:t>
      </w:r>
      <w:r>
        <w:t xml:space="preserve"> </w:t>
      </w:r>
      <w:r>
        <w:t xml:space="preserve">2. U(1) has a one-dimensional Lie algebra (single generator).</w:t>
      </w:r>
      <w:r>
        <w:t xml:space="preserve"> </w:t>
      </w:r>
      <w:r>
        <w:t xml:space="preserve">3. Electromagnetism is the U(1) gauge theory.</w:t>
      </w:r>
      <w:r>
        <w:t xml:space="preserve"> </w:t>
      </w:r>
      <w:r>
        <w:t xml:space="preserve">4. The interface mode represents the fundamental</w:t>
      </w:r>
      <w:r>
        <w:t xml:space="preserve"> </w:t>
      </w:r>
      <w:r>
        <w:t xml:space="preserve">“</w:t>
      </w:r>
      <w:r>
        <w:t xml:space="preserve">boundary</w:t>
      </w:r>
      <w:r>
        <w:t xml:space="preserve">”</w:t>
      </w:r>
      <w:r>
        <w:t xml:space="preserve"> </w:t>
      </w:r>
      <w:r>
        <w:t xml:space="preserve">between Existence (matter/structure) and Happening (dynamics/energy) — precisely where electromagnetic interaction occurs.</w:t>
      </w:r>
    </w:p>
    <w:p>
      <w:pPr>
        <w:pStyle w:val="BodyText"/>
      </w:pPr>
      <w:r>
        <w:rPr>
          <w:iCs/>
          <w:i/>
        </w:rPr>
        <w:t xml:space="preserve">Remark:</w:t>
      </w:r>
      <w:r>
        <w:t xml:space="preserve"> </w:t>
      </w:r>
      <w:r>
        <w:t xml:space="preserve">This identification is structural, not fitted. The single interface mode naturally corresponds to the single generator of electromagnetic gauge symmetry.</w:t>
      </w:r>
    </w:p>
    <w:p>
      <w:r>
        <w:pict>
          <v:rect style="width:0;height:1.5pt" o:hralign="center" o:hrstd="t" o:hr="t"/>
        </w:pict>
      </w:r>
    </w:p>
    <w:bookmarkEnd w:id="31"/>
    <w:bookmarkEnd w:id="32"/>
    <w:bookmarkStart w:id="35" w:name="part-iv-normalization-and-result"/>
    <w:p>
      <w:pPr>
        <w:pStyle w:val="Heading2"/>
      </w:pPr>
      <w:r>
        <w:t xml:space="preserve">Part IV: Normalization and Result</w:t>
      </w:r>
    </w:p>
    <w:bookmarkStart w:id="33" w:name="isotropy-and-the-coupling-scale"/>
    <w:p>
      <w:pPr>
        <w:pStyle w:val="Heading3"/>
      </w:pPr>
      <w:r>
        <w:t xml:space="preserve">10. Isotropy and the Coupling Scale</w:t>
      </w:r>
    </w:p>
    <w:p>
      <w:pPr>
        <w:pStyle w:val="FirstParagraph"/>
      </w:pPr>
      <w:r>
        <w:rPr>
          <w:bCs/>
          <w:b/>
        </w:rPr>
        <w:t xml:space="preserve">Axiom 8 (Isotropy):</w:t>
      </w:r>
      <w:r>
        <w:t xml:space="preserve"> </w:t>
      </w:r>
      <w:r>
        <w:t xml:space="preserve">The physical operator space K_phys is isotropic under admissible orthogonal transformations. That is, no direction in K_phys is intrinsically distinguished.</w:t>
      </w:r>
    </w:p>
    <w:p>
      <w:pPr>
        <w:pStyle w:val="BodyText"/>
      </w:pPr>
      <w:r>
        <w:rPr>
          <w:iCs/>
          <w:i/>
        </w:rPr>
        <w:t xml:space="preserve">Physical motivation:</w:t>
      </w:r>
      <w:r>
        <w:t xml:space="preserve"> </w:t>
      </w:r>
      <w:r>
        <w:t xml:space="preserve">In the absence of additional structure (such as a preferred basis or symmetry breaking), there is no reason for one operator direction to be</w:t>
      </w:r>
      <w:r>
        <w:t xml:space="preserve"> </w:t>
      </w:r>
      <w:r>
        <w:t xml:space="preserve">“</w:t>
      </w:r>
      <w:r>
        <w:t xml:space="preserve">special.</w:t>
      </w:r>
      <w:r>
        <w:t xml:space="preserve">”</w:t>
      </w:r>
      <w:r>
        <w:t xml:space="preserve"> </w:t>
      </w:r>
      <w:r>
        <w:t xml:space="preserve">Isotropy is the mathematical expression of this symmetry.</w:t>
      </w:r>
    </w:p>
    <w:p>
      <w:pPr>
        <w:pStyle w:val="BodyText"/>
      </w:pPr>
      <w:r>
        <w:rPr>
          <w:bCs/>
          <w:b/>
        </w:rPr>
        <w:t xml:space="preserve">Definition 10 (Total Coupling Norm):</w:t>
      </w:r>
      <w:r>
        <w:t xml:space="preserve"> </w:t>
      </w:r>
      <w:r>
        <w:t xml:space="preserve">Let ||K||² denote the squared Frobenius norm of a coupling operator. The total coupling budget is normalized to 1 (in appropriate units).</w:t>
      </w:r>
    </w:p>
    <w:p>
      <w:pPr>
        <w:pStyle w:val="BodyText"/>
      </w:pPr>
      <w:r>
        <w:rPr>
          <w:bCs/>
          <w:b/>
        </w:rPr>
        <w:t xml:space="preserve">Theorem 6 (Characteristic Coupling Scale):</w:t>
      </w:r>
      <w:r>
        <w:t xml:space="preserve"> </w:t>
      </w:r>
      <w:r>
        <w:t xml:space="preserve">Under isotropy and norm fixing, the characteristic coupling strength in any single direction is:</w:t>
      </w:r>
    </w:p>
    <w:p>
      <w:pPr>
        <w:pStyle w:val="BodyText"/>
      </w:pPr>
      <m:oMathPara>
        <m:oMathParaPr>
          <m:jc m:val="center"/>
        </m:oMathParaPr>
        <m:oMath>
          <m:r>
            <m:t>α</m:t>
          </m:r>
          <m:r>
            <m:rPr>
              <m:sty m:val="p"/>
            </m:rPr>
            <m:t>=</m:t>
          </m:r>
          <m:f>
            <m:fPr>
              <m:type m:val="bar"/>
            </m:fPr>
            <m:num>
              <m:r>
                <m:t>1</m:t>
              </m:r>
            </m:num>
            <m:den>
              <m:r>
                <m:t>N</m:t>
              </m:r>
            </m:den>
          </m:f>
          <m:r>
            <m:rPr>
              <m:sty m:val="p"/>
            </m:rPr>
            <m:t>=</m:t>
          </m:r>
          <m:f>
            <m:fPr>
              <m:type m:val="bar"/>
            </m:fPr>
            <m:num>
              <m:r>
                <m:t>1</m:t>
              </m:r>
            </m:num>
            <m:den>
              <m:sSup>
                <m:e>
                  <m:r>
                    <m:t>n</m:t>
                  </m:r>
                </m:e>
                <m:sup>
                  <m:r>
                    <m:t>2</m:t>
                  </m:r>
                </m:sup>
              </m:sSup>
              <m:r>
                <m:rPr>
                  <m:sty m:val="p"/>
                </m:rPr>
                <m:t>−</m:t>
              </m:r>
              <m:r>
                <m:t>k</m:t>
              </m:r>
            </m:den>
          </m:f>
        </m:oMath>
      </m:oMathPara>
    </w:p>
    <w:p>
      <w:pPr>
        <w:pStyle w:val="FirstParagraph"/>
      </w:pPr>
      <w:r>
        <w:rPr>
          <w:iCs/>
          <w:i/>
        </w:rPr>
        <w:t xml:space="preserve">Proof:</w:t>
      </w:r>
      <w:r>
        <w:t xml:space="preserve"> </w:t>
      </w:r>
      <w:r>
        <w:t xml:space="preserve">1. The physical operator space has dimension N = 137.</w:t>
      </w:r>
      <w:r>
        <w:t xml:space="preserve"> </w:t>
      </w:r>
      <w:r>
        <w:t xml:space="preserve">2. By isotropy, no direction is preferred — the coupling</w:t>
      </w:r>
      <w:r>
        <w:t xml:space="preserve"> </w:t>
      </w:r>
      <w:r>
        <w:t xml:space="preserve">“</w:t>
      </w:r>
      <w:r>
        <w:t xml:space="preserve">budget</w:t>
      </w:r>
      <w:r>
        <w:t xml:space="preserve">”</w:t>
      </w:r>
      <w:r>
        <w:t xml:space="preserve"> </w:t>
      </w:r>
      <w:r>
        <w:t xml:space="preserve">distributes uniformly.</w:t>
      </w:r>
      <w:r>
        <w:t xml:space="preserve"> </w:t>
      </w:r>
      <w:r>
        <w:t xml:space="preserve">3. If the total squared norm is fixed to 1, and this is distributed over N equivalent directions, then the contribution per direction is 1/N.</w:t>
      </w:r>
      <w:r>
        <w:t xml:space="preserve"> </w:t>
      </w:r>
      <w:r>
        <w:t xml:space="preserve">4. Therefore: α = 1/N = 1/137. □</w:t>
      </w:r>
    </w:p>
    <w:p>
      <w:pPr>
        <w:pStyle w:val="BodyText"/>
      </w:pPr>
      <w:r>
        <w:rPr>
          <w:iCs/>
          <w:i/>
        </w:rPr>
        <w:t xml:space="preserve">Remark:</w:t>
      </w:r>
      <w:r>
        <w:t xml:space="preserve"> </w:t>
      </w:r>
      <w:r>
        <w:t xml:space="preserve">This is not an</w:t>
      </w:r>
      <w:r>
        <w:t xml:space="preserve"> </w:t>
      </w:r>
      <w:r>
        <w:t xml:space="preserve">“</w:t>
      </w:r>
      <w:r>
        <w:t xml:space="preserve">equipartition</w:t>
      </w:r>
      <w:r>
        <w:t xml:space="preserve">”</w:t>
      </w:r>
      <w:r>
        <w:t xml:space="preserve"> </w:t>
      </w:r>
      <w:r>
        <w:t xml:space="preserve">assumption in the statistical sense. It is a consequence of isotropy (symmetry) plus norm fixing (one empirical calibration). The structure (1/N) is derived; only the overall scale requires measurement.</w:t>
      </w:r>
    </w:p>
    <w:p>
      <w:r>
        <w:pict>
          <v:rect style="width:0;height:1.5pt" o:hralign="center" o:hrstd="t" o:hr="t"/>
        </w:pict>
      </w:r>
    </w:p>
    <w:bookmarkEnd w:id="33"/>
    <w:bookmarkStart w:id="34" w:name="main-result"/>
    <w:p>
      <w:pPr>
        <w:pStyle w:val="Heading3"/>
      </w:pPr>
      <w:r>
        <w:t xml:space="preserve">11. Main Result</w:t>
      </w:r>
    </w:p>
    <w:p>
      <w:pPr>
        <w:pStyle w:val="FirstParagraph"/>
      </w:pPr>
      <w:r>
        <w:rPr>
          <w:bCs/>
          <w:b/>
        </w:rPr>
        <w:t xml:space="preserve">Theorem 7 (Fine Structure Constant):</w:t>
      </w:r>
      <w:r>
        <w:t xml:space="preserve"> </w:t>
      </w:r>
      <w:r>
        <w:t xml:space="preserve">Within the Dimensional Emergence Framework, the fine structure constant is:</w:t>
      </w:r>
    </w:p>
    <w:p>
      <w:pPr>
        <w:pStyle w:val="BodyText"/>
      </w:pPr>
      <m:oMathPara>
        <m:oMathParaPr>
          <m:jc m:val="center"/>
        </m:oMathParaPr>
        <m:oMath>
          <m:borderBox>
            <m:e>
              <m:r>
                <m:t>α</m:t>
              </m:r>
              <m:r>
                <m:rPr>
                  <m:sty m:val="p"/>
                </m:rPr>
                <m:t>=</m:t>
              </m:r>
              <m:f>
                <m:fPr>
                  <m:type m:val="bar"/>
                </m:fPr>
                <m:num>
                  <m:r>
                    <m:t>1</m:t>
                  </m:r>
                </m:num>
                <m:den>
                  <m:sSup>
                    <m:e>
                      <m:r>
                        <m:t>n</m:t>
                      </m:r>
                    </m:e>
                    <m:sup>
                      <m:r>
                        <m:t>2</m:t>
                      </m:r>
                    </m:sup>
                  </m:sSup>
                  <m:r>
                    <m:rPr>
                      <m:sty m:val="p"/>
                    </m:rPr>
                    <m:t>−</m:t>
                  </m:r>
                  <m:r>
                    <m:t>k</m:t>
                  </m:r>
                </m:den>
              </m:f>
              <m:r>
                <m:rPr>
                  <m:sty m:val="p"/>
                </m:rPr>
                <m:t>=</m:t>
              </m:r>
              <m:f>
                <m:fPr>
                  <m:type m:val="bar"/>
                </m:fPr>
                <m:num>
                  <m:r>
                    <m:t>1</m:t>
                  </m:r>
                </m:num>
                <m:den>
                  <m:r>
                    <m:t>144</m:t>
                  </m:r>
                  <m:r>
                    <m:rPr>
                      <m:sty m:val="p"/>
                    </m:rPr>
                    <m:t>−</m:t>
                  </m:r>
                  <m:r>
                    <m:t>7</m:t>
                  </m:r>
                </m:den>
              </m:f>
              <m:r>
                <m:rPr>
                  <m:sty m:val="p"/>
                </m:rPr>
                <m:t>=</m:t>
              </m:r>
              <m:f>
                <m:fPr>
                  <m:type m:val="bar"/>
                </m:fPr>
                <m:num>
                  <m:r>
                    <m:t>1</m:t>
                  </m:r>
                </m:num>
                <m:den>
                  <m:r>
                    <m:t>137</m:t>
                  </m:r>
                </m:den>
              </m:f>
            </m:e>
          </m:borderBox>
        </m:oMath>
      </m:oMathPara>
    </w:p>
    <w:p>
      <w:pPr>
        <w:pStyle w:val="FirstParagraph"/>
      </w:pPr>
      <w:r>
        <w:rPr>
          <w:iCs/>
          <w:i/>
        </w:rPr>
        <w:t xml:space="preserve">Proof:</w:t>
      </w:r>
      <w:r>
        <w:t xml:space="preserve"> </w:t>
      </w:r>
      <w:r>
        <w:t xml:space="preserve">Combine:</w:t>
      </w:r>
      <w:r>
        <w:t xml:space="preserve"> </w:t>
      </w:r>
      <w:r>
        <w:t xml:space="preserve">- Theorem 1: n = 12</w:t>
      </w:r>
      <w:r>
        <w:t xml:space="preserve"> </w:t>
      </w:r>
      <w:r>
        <w:t xml:space="preserve">- Corollary 1: k = 7</w:t>
      </w:r>
      <w:r>
        <w:t xml:space="preserve"> </w:t>
      </w:r>
      <w:r>
        <w:t xml:space="preserve">- Theorem 4: N = n² - k = 137</w:t>
      </w:r>
      <w:r>
        <w:t xml:space="preserve"> </w:t>
      </w:r>
      <w:r>
        <w:t xml:space="preserve">- Theorem 6: α = 1/N</w:t>
      </w:r>
    </w:p>
    <w:p>
      <w:pPr>
        <w:pStyle w:val="BodyText"/>
      </w:pPr>
      <w:r>
        <w:t xml:space="preserve">Therefore: α = 1/137. □</w:t>
      </w:r>
    </w:p>
    <w:p>
      <w:pPr>
        <w:pStyle w:val="BodyText"/>
      </w:pPr>
      <w:r>
        <w:rPr>
          <w:bCs/>
          <w:b/>
        </w:rPr>
        <w:t xml:space="preserve">Comparison with Measurement:</w:t>
      </w:r>
      <w:r>
        <w:t xml:space="preserve"> </w:t>
      </w:r>
      <w:r>
        <w:t xml:space="preserve">- Derived value: α = 1/137 ≈ 0.007299</w:t>
      </w:r>
      <w:r>
        <w:t xml:space="preserve"> </w:t>
      </w:r>
      <w:r>
        <w:t xml:space="preserve">- Measured value: α ≈ 1/137.036 ≈ 0.007297</w:t>
      </w:r>
    </w:p>
    <w:p>
      <w:pPr>
        <w:pStyle w:val="BodyText"/>
      </w:pPr>
      <w:r>
        <w:t xml:space="preserve">The discrepancy is ~0.03%, which may be attributed to:</w:t>
      </w:r>
      <w:r>
        <w:t xml:space="preserve"> </w:t>
      </w:r>
      <w:r>
        <w:t xml:space="preserve">- Radiative corrections (QED loop effects)</w:t>
      </w:r>
      <w:r>
        <w:t xml:space="preserve"> </w:t>
      </w:r>
      <w:r>
        <w:t xml:space="preserve">- Higher-order structure not captured in the minimal model</w:t>
      </w:r>
      <w:r>
        <w:t xml:space="preserve"> </w:t>
      </w:r>
      <w:r>
        <w:t xml:space="preserve">- The discrete approximation to continuous gauge structure</w:t>
      </w:r>
    </w:p>
    <w:p>
      <w:r>
        <w:pict>
          <v:rect style="width:0;height:1.5pt" o:hralign="center" o:hrstd="t" o:hr="t"/>
        </w:pict>
      </w:r>
    </w:p>
    <w:bookmarkEnd w:id="34"/>
    <w:bookmarkEnd w:id="35"/>
    <w:bookmarkStart w:id="40" w:name="part-v-discussion"/>
    <w:p>
      <w:pPr>
        <w:pStyle w:val="Heading2"/>
      </w:pPr>
      <w:r>
        <w:t xml:space="preserve">Part V: Discussion</w:t>
      </w:r>
    </w:p>
    <w:bookmarkStart w:id="36" w:name="what-is-derived-vs.-what-is-assumed"/>
    <w:p>
      <w:pPr>
        <w:pStyle w:val="Heading3"/>
      </w:pPr>
      <w:r>
        <w:t xml:space="preserve">12. What Is Derived vs. What Is Assumed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Element</w:t>
            </w:r>
          </w:p>
        </w:tc>
        <w:tc>
          <w:tcPr/>
          <w:p>
            <w:pPr>
              <w:pStyle w:val="Compact"/>
              <w:jc w:val="left"/>
            </w:pPr>
            <w:r>
              <w:t xml:space="preserve">Status</w:t>
            </w:r>
          </w:p>
        </w:tc>
      </w:tr>
      <w:tr>
        <w:tc>
          <w:tcPr/>
          <w:p>
            <w:pPr>
              <w:pStyle w:val="Compact"/>
              <w:jc w:val="left"/>
            </w:pPr>
            <w:r>
              <w:t xml:space="preserve">n = 12</w:t>
            </w:r>
          </w:p>
        </w:tc>
        <w:tc>
          <w:tcPr/>
          <w:p>
            <w:pPr>
              <w:pStyle w:val="Compact"/>
              <w:jc w:val="left"/>
            </w:pPr>
            <w:r>
              <w:rPr>
                <w:bCs/>
                <w:b/>
              </w:rPr>
              <w:t xml:space="preserve">Derived</w:t>
            </w:r>
            <w:r>
              <w:t xml:space="preserve"> </w:t>
            </w:r>
            <w:r>
              <w:t xml:space="preserve">from DEF axioms (4 modes × 3 phases)</w:t>
            </w:r>
          </w:p>
        </w:tc>
      </w:tr>
      <w:tr>
        <w:tc>
          <w:tcPr/>
          <w:p>
            <w:pPr>
              <w:pStyle w:val="Compact"/>
              <w:jc w:val="left"/>
            </w:pPr>
            <w:r>
              <w:t xml:space="preserve">k = 7</w:t>
            </w:r>
          </w:p>
        </w:tc>
        <w:tc>
          <w:tcPr/>
          <w:p>
            <w:pPr>
              <w:pStyle w:val="Compact"/>
              <w:jc w:val="left"/>
            </w:pPr>
            <w:r>
              <w:rPr>
                <w:bCs/>
                <w:b/>
              </w:rPr>
              <w:t xml:space="preserve">Derived</w:t>
            </w:r>
            <w:r>
              <w:t xml:space="preserve"> </w:t>
            </w:r>
            <w:r>
              <w:t xml:space="preserve">from gauge structure (3 + 3 + 1)</w:t>
            </w:r>
          </w:p>
        </w:tc>
      </w:tr>
      <w:tr>
        <w:tc>
          <w:tcPr/>
          <w:p>
            <w:pPr>
              <w:pStyle w:val="Compact"/>
              <w:jc w:val="left"/>
            </w:pPr>
            <w:r>
              <w:t xml:space="preserve">Form: 1/(n² − k)</w:t>
            </w:r>
          </w:p>
        </w:tc>
        <w:tc>
          <w:tcPr/>
          <w:p>
            <w:pPr>
              <w:pStyle w:val="Compact"/>
              <w:jc w:val="left"/>
            </w:pPr>
            <w:r>
              <w:rPr>
                <w:bCs/>
                <w:b/>
              </w:rPr>
              <w:t xml:space="preserve">Derived</w:t>
            </w:r>
            <w:r>
              <w:t xml:space="preserve"> </w:t>
            </w:r>
            <w:r>
              <w:t xml:space="preserve">from quotient structure + bilinearity</w:t>
            </w:r>
          </w:p>
        </w:tc>
      </w:tr>
      <w:tr>
        <w:tc>
          <w:tcPr/>
          <w:p>
            <w:pPr>
              <w:pStyle w:val="Compact"/>
              <w:jc w:val="left"/>
            </w:pPr>
            <w:r>
              <w:t xml:space="preserve">Isotropy</w:t>
            </w:r>
          </w:p>
        </w:tc>
        <w:tc>
          <w:tcPr/>
          <w:p>
            <w:pPr>
              <w:pStyle w:val="Compact"/>
              <w:jc w:val="left"/>
            </w:pPr>
            <w:r>
              <w:rPr>
                <w:bCs/>
                <w:b/>
              </w:rPr>
              <w:t xml:space="preserve">Assumed</w:t>
            </w:r>
            <w:r>
              <w:t xml:space="preserve"> </w:t>
            </w:r>
            <w:r>
              <w:t xml:space="preserve">(Axiom 8) — but motivated by symmetry</w:t>
            </w:r>
          </w:p>
        </w:tc>
      </w:tr>
      <w:tr>
        <w:tc>
          <w:tcPr/>
          <w:p>
            <w:pPr>
              <w:pStyle w:val="Compact"/>
              <w:jc w:val="left"/>
            </w:pPr>
            <w:r>
              <w:t xml:space="preserve">Total norm = 1</w:t>
            </w:r>
          </w:p>
        </w:tc>
        <w:tc>
          <w:tcPr/>
          <w:p>
            <w:pPr>
              <w:pStyle w:val="Compact"/>
              <w:jc w:val="left"/>
            </w:pPr>
            <w:r>
              <w:rPr>
                <w:bCs/>
                <w:b/>
              </w:rPr>
              <w:t xml:space="preserve">Calibration</w:t>
            </w:r>
            <w:r>
              <w:t xml:space="preserve"> </w:t>
            </w:r>
            <w:r>
              <w:t xml:space="preserve">— one empirical input</w:t>
            </w:r>
          </w:p>
        </w:tc>
      </w:tr>
    </w:tbl>
    <w:p>
      <w:pPr>
        <w:pStyle w:val="BodyText"/>
      </w:pPr>
      <w:r>
        <w:t xml:space="preserve">The derivation requires 8 axioms:</w:t>
      </w:r>
      <w:r>
        <w:t xml:space="preserve"> </w:t>
      </w:r>
      <w:r>
        <w:t xml:space="preserve">- Axioms 1-3: DEF structure (primordial differentiation, pairwise modes, phases)</w:t>
      </w:r>
      <w:r>
        <w:t xml:space="preserve"> </w:t>
      </w:r>
      <w:r>
        <w:t xml:space="preserve">- Axiom 4: Pair observability (internal gauge)</w:t>
      </w:r>
      <w:r>
        <w:t xml:space="preserve"> </w:t>
      </w:r>
      <w:r>
        <w:t xml:space="preserve">- Axiom 5: Global constraints (fixes u, v; leaves w free)</w:t>
      </w:r>
      <w:r>
        <w:t xml:space="preserve"> </w:t>
      </w:r>
      <w:r>
        <w:t xml:space="preserve">- Axiom 7: Quotient structure (physical operators on Ω/G)</w:t>
      </w:r>
      <w:r>
        <w:t xml:space="preserve"> </w:t>
      </w:r>
      <w:r>
        <w:t xml:space="preserve">- Axiom 8: Isotropy</w:t>
      </w:r>
    </w:p>
    <w:p>
      <w:pPr>
        <w:pStyle w:val="BodyText"/>
      </w:pPr>
      <w:r>
        <w:t xml:space="preserve">Axioms 1-5 are specific to DEF. Axiom 7 is standard gauge theory. Axiom 8 is a symmetry assumption.</w:t>
      </w:r>
    </w:p>
    <w:p>
      <w:r>
        <w:pict>
          <v:rect style="width:0;height:1.5pt" o:hralign="center" o:hrstd="t" o:hr="t"/>
        </w:pict>
      </w:r>
    </w:p>
    <w:bookmarkEnd w:id="36"/>
    <w:bookmarkStart w:id="37" w:name="why-not-other-forms"/>
    <w:p>
      <w:pPr>
        <w:pStyle w:val="Heading3"/>
      </w:pPr>
      <w:r>
        <w:t xml:space="preserve">13. Why Not Other Forms?</w:t>
      </w:r>
    </w:p>
    <w:p>
      <w:pPr>
        <w:pStyle w:val="FirstParagraph"/>
      </w:pPr>
      <w:r>
        <w:rPr>
          <w:bCs/>
          <w:b/>
        </w:rPr>
        <w:t xml:space="preserve">Why 1/N and not 1/√N?</w:t>
      </w:r>
      <w:r>
        <w:t xml:space="preserve"> </w:t>
      </w:r>
      <w:r>
        <w:t xml:space="preserve">- Coupling is bilinear (operator-level), not amplitude-level</w:t>
      </w:r>
      <w:r>
        <w:t xml:space="preserve"> </w:t>
      </w:r>
      <w:r>
        <w:t xml:space="preserve">- Operator space dimensions add/subtract linearly</w:t>
      </w:r>
      <w:r>
        <w:t xml:space="preserve"> </w:t>
      </w:r>
      <w:r>
        <w:t xml:space="preserve">- The √N form arises in fluctuation statistics, not in operator geometry</w:t>
      </w:r>
    </w:p>
    <w:p>
      <w:pPr>
        <w:pStyle w:val="BodyText"/>
      </w:pPr>
      <w:r>
        <w:rPr>
          <w:bCs/>
          <w:b/>
        </w:rPr>
        <w:t xml:space="preserve">Why no factor of π?</w:t>
      </w:r>
      <w:r>
        <w:t xml:space="preserve"> </w:t>
      </w:r>
      <w:r>
        <w:t xml:space="preserve">- π arises from continuous angular integrals</w:t>
      </w:r>
      <w:r>
        <w:t xml:space="preserve"> </w:t>
      </w:r>
      <w:r>
        <w:t xml:space="preserve">- This derivation involves discrete counting and linear algebra</w:t>
      </w:r>
      <w:r>
        <w:t xml:space="preserve"> </w:t>
      </w:r>
      <w:r>
        <w:t xml:space="preserve">- No circles, spheres, or rotations appear in the structure</w:t>
      </w:r>
    </w:p>
    <w:p>
      <w:pPr>
        <w:pStyle w:val="BodyText"/>
      </w:pPr>
      <w:r>
        <w:rPr>
          <w:bCs/>
          <w:b/>
        </w:rPr>
        <w:t xml:space="preserve">Why n² and not n?</w:t>
      </w:r>
      <w:r>
        <w:t xml:space="preserve"> </w:t>
      </w:r>
      <w:r>
        <w:t xml:space="preserve">- Coupling is bilinear: it connects</w:t>
      </w:r>
      <w:r>
        <w:t xml:space="preserve"> </w:t>
      </w:r>
      <w:r>
        <w:rPr>
          <w:iCs/>
          <w:i/>
        </w:rPr>
        <w:t xml:space="preserve">pairs</w:t>
      </w:r>
      <w:r>
        <w:t xml:space="preserve"> </w:t>
      </w:r>
      <w:r>
        <w:t xml:space="preserve">of configurations</w:t>
      </w:r>
      <w:r>
        <w:t xml:space="preserve"> </w:t>
      </w:r>
      <w:r>
        <w:t xml:space="preserve">- The space of bilinear forms on ℝⁿ has dimension n² (or n(n+1)/2 for symmetric)</w:t>
      </w:r>
      <w:r>
        <w:t xml:space="preserve"> </w:t>
      </w:r>
      <w:r>
        <w:t xml:space="preserve">- The gauge reduction subtracts k linearly, not quadratically</w:t>
      </w:r>
    </w:p>
    <w:p>
      <w:r>
        <w:pict>
          <v:rect style="width:0;height:1.5pt" o:hralign="center" o:hrstd="t" o:hr="t"/>
        </w:pict>
      </w:r>
    </w:p>
    <w:bookmarkEnd w:id="37"/>
    <w:bookmarkStart w:id="38" w:name="the-epistemological-interpretation"/>
    <w:p>
      <w:pPr>
        <w:pStyle w:val="Heading3"/>
      </w:pPr>
      <w:r>
        <w:t xml:space="preserve">14. The Epistemological Interpretation</w:t>
      </w:r>
    </w:p>
    <w:p>
      <w:pPr>
        <w:pStyle w:val="FirstParagraph"/>
      </w:pPr>
      <w:r>
        <w:t xml:space="preserve">A deeper reading of the result α = 1/(144 − 7):</w:t>
      </w:r>
    </w:p>
    <w:p>
      <w:pPr>
        <w:pStyle w:val="BodyText"/>
      </w:pPr>
      <w:r>
        <w:rPr>
          <w:bCs/>
          <w:b/>
        </w:rPr>
        <w:t xml:space="preserve">144</w:t>
      </w:r>
      <w:r>
        <w:t xml:space="preserve"> </w:t>
      </w:r>
      <w:r>
        <w:t xml:space="preserve">represents the full coupling structure — what would be observable from</w:t>
      </w:r>
      <w:r>
        <w:t xml:space="preserve"> </w:t>
      </w:r>
      <w:r>
        <w:t xml:space="preserve">“</w:t>
      </w:r>
      <w:r>
        <w:t xml:space="preserve">outside</w:t>
      </w:r>
      <w:r>
        <w:t xml:space="preserve">”</w:t>
      </w:r>
      <w:r>
        <w:t xml:space="preserve"> </w:t>
      </w:r>
      <w:r>
        <w:t xml:space="preserve">the system, if such a perspective existed.</w:t>
      </w:r>
    </w:p>
    <w:p>
      <w:pPr>
        <w:pStyle w:val="BodyText"/>
      </w:pPr>
      <w:r>
        <w:rPr>
          <w:bCs/>
          <w:b/>
        </w:rPr>
        <w:t xml:space="preserve">7</w:t>
      </w:r>
      <w:r>
        <w:t xml:space="preserve"> </w:t>
      </w:r>
      <w:r>
        <w:t xml:space="preserve">represents the self-reference modes — directions that are in principle unobservable because they constitute our own structure. We cannot observe them because we</w:t>
      </w:r>
      <w:r>
        <w:t xml:space="preserve"> </w:t>
      </w:r>
      <w:r>
        <w:rPr>
          <w:iCs/>
          <w:i/>
        </w:rPr>
        <w:t xml:space="preserve">are</w:t>
      </w:r>
      <w:r>
        <w:t xml:space="preserve"> </w:t>
      </w:r>
      <w:r>
        <w:t xml:space="preserve">them.</w:t>
      </w:r>
    </w:p>
    <w:p>
      <w:pPr>
        <w:pStyle w:val="BodyText"/>
      </w:pPr>
      <w:r>
        <w:rPr>
          <w:bCs/>
          <w:b/>
        </w:rPr>
        <w:t xml:space="preserve">137</w:t>
      </w:r>
      <w:r>
        <w:t xml:space="preserve"> </w:t>
      </w:r>
      <w:r>
        <w:t xml:space="preserve">is what remains accessible — the coupling structure we can actually measure.</w:t>
      </w:r>
    </w:p>
    <w:p>
      <w:pPr>
        <w:pStyle w:val="BodyText"/>
      </w:pPr>
      <w:r>
        <w:t xml:space="preserve">Thus:</w:t>
      </w:r>
      <w:r>
        <w:t xml:space="preserve"> </w:t>
      </w:r>
      <w:r>
        <w:rPr>
          <w:bCs/>
          <w:b/>
        </w:rPr>
        <w:t xml:space="preserve">α = 1/137 encodes the ratio of accessible to total structure.</w:t>
      </w:r>
    </w:p>
    <w:p>
      <w:pPr>
        <w:pStyle w:val="BodyText"/>
      </w:pPr>
      <w:r>
        <w:t xml:space="preserve">This connects to:</w:t>
      </w:r>
      <w:r>
        <w:t xml:space="preserve"> </w:t>
      </w:r>
      <w:r>
        <w:t xml:space="preserve">-</w:t>
      </w:r>
      <w:r>
        <w:t xml:space="preserve"> </w:t>
      </w:r>
      <w:r>
        <w:rPr>
          <w:bCs/>
          <w:b/>
        </w:rPr>
        <w:t xml:space="preserve">Gödel’s incompleteness:</w:t>
      </w:r>
      <w:r>
        <w:t xml:space="preserve"> </w:t>
      </w:r>
      <w:r>
        <w:t xml:space="preserve">A system cannot fully describe itself</w:t>
      </w:r>
      <w:r>
        <w:t xml:space="preserve"> </w:t>
      </w:r>
      <w:r>
        <w:t xml:space="preserve">-</w:t>
      </w:r>
      <w:r>
        <w:t xml:space="preserve"> </w:t>
      </w:r>
      <w:r>
        <w:rPr>
          <w:bCs/>
          <w:b/>
        </w:rPr>
        <w:t xml:space="preserve">The measurement problem:</w:t>
      </w:r>
      <w:r>
        <w:t xml:space="preserve"> </w:t>
      </w:r>
      <w:r>
        <w:t xml:space="preserve">The observer is part of the observed</w:t>
      </w:r>
      <w:r>
        <w:t xml:space="preserve"> </w:t>
      </w:r>
      <w:r>
        <w:t xml:space="preserve">-</w:t>
      </w:r>
      <w:r>
        <w:t xml:space="preserve"> </w:t>
      </w:r>
      <w:r>
        <w:rPr>
          <w:bCs/>
          <w:b/>
        </w:rPr>
        <w:t xml:space="preserve">3+1 spacetime:</w:t>
      </w:r>
      <w:r>
        <w:t xml:space="preserve"> </w:t>
      </w:r>
      <w:r>
        <w:t xml:space="preserve">We perceive 3 spatial dimensions + 1 time dimension, corresponding to 3 Existence-internal modes + 1 interface mode that become our perceptual framework</w:t>
      </w:r>
    </w:p>
    <w:p>
      <w:pPr>
        <w:pStyle w:val="BodyText"/>
      </w:pPr>
      <w:r>
        <w:t xml:space="preserve">The fine structure constant is not an arbitrary number. It is the</w:t>
      </w:r>
      <w:r>
        <w:t xml:space="preserve"> </w:t>
      </w:r>
      <w:r>
        <w:rPr>
          <w:bCs/>
          <w:b/>
        </w:rPr>
        <w:t xml:space="preserve">epistemological signature</w:t>
      </w:r>
      <w:r>
        <w:t xml:space="preserve"> </w:t>
      </w:r>
      <w:r>
        <w:t xml:space="preserve">of embedded observation — the price of being inside the system we measure.</w:t>
      </w:r>
    </w:p>
    <w:p>
      <w:r>
        <w:pict>
          <v:rect style="width:0;height:1.5pt" o:hralign="center" o:hrstd="t" o:hr="t"/>
        </w:pict>
      </w:r>
    </w:p>
    <w:bookmarkEnd w:id="38"/>
    <w:bookmarkStart w:id="39" w:name="open-questions"/>
    <w:p>
      <w:pPr>
        <w:pStyle w:val="Heading3"/>
      </w:pPr>
      <w:r>
        <w:t xml:space="preserve">15. Open Questions</w:t>
      </w:r>
    </w:p>
    <w:p>
      <w:pPr>
        <w:numPr>
          <w:ilvl w:val="0"/>
          <w:numId w:val="1001"/>
        </w:numPr>
      </w:pPr>
      <w:r>
        <w:rPr>
          <w:bCs/>
          <w:b/>
        </w:rPr>
        <w:t xml:space="preserve">The 0.03% discrepancy:</w:t>
      </w:r>
      <w:r>
        <w:t xml:space="preserve"> </w:t>
      </w:r>
      <w:r>
        <w:t xml:space="preserve">Can higher-order corrections within DEF account for the difference between 1/137 and 1/137.036?</w:t>
      </w:r>
    </w:p>
    <w:p>
      <w:pPr>
        <w:numPr>
          <w:ilvl w:val="0"/>
          <w:numId w:val="1001"/>
        </w:numPr>
      </w:pPr>
      <w:r>
        <w:rPr>
          <w:bCs/>
          <w:b/>
        </w:rPr>
        <w:t xml:space="preserve">Other coupling constants:</w:t>
      </w:r>
      <w:r>
        <w:t xml:space="preserve"> </w:t>
      </w:r>
      <w:r>
        <w:t xml:space="preserve">Can the strong (αs) and weak (αw) couplings be derived from the same structure? What would their self-reference counts be?</w:t>
      </w:r>
    </w:p>
    <w:p>
      <w:pPr>
        <w:numPr>
          <w:ilvl w:val="0"/>
          <w:numId w:val="1001"/>
        </w:numPr>
      </w:pPr>
      <w:r>
        <w:rPr>
          <w:bCs/>
          <w:b/>
        </w:rPr>
        <w:t xml:space="preserve">Running of α:</w:t>
      </w:r>
      <w:r>
        <w:t xml:space="preserve"> </w:t>
      </w:r>
      <w:r>
        <w:t xml:space="preserve">The measured α varies with energy scale. Does DEF predict or explain this running?</w:t>
      </w:r>
    </w:p>
    <w:p>
      <w:pPr>
        <w:numPr>
          <w:ilvl w:val="0"/>
          <w:numId w:val="1001"/>
        </w:numPr>
      </w:pPr>
      <w:r>
        <w:rPr>
          <w:bCs/>
          <w:b/>
        </w:rPr>
        <w:t xml:space="preserve">The 3+1 connection:</w:t>
      </w:r>
      <w:r>
        <w:t xml:space="preserve"> </w:t>
      </w:r>
      <w:r>
        <w:t xml:space="preserve">Is the identification of 3+1 spacetime with 3+1 self-reference modes exact or analogical?</w:t>
      </w:r>
    </w:p>
    <w:p>
      <w:r>
        <w:pict>
          <v:rect style="width:0;height:1.5pt" o:hralign="center" o:hrstd="t" o:hr="t"/>
        </w:pict>
      </w:r>
    </w:p>
    <w:bookmarkEnd w:id="39"/>
    <w:bookmarkEnd w:id="40"/>
    <w:bookmarkStart w:id="41" w:name="conclusion"/>
    <w:p>
      <w:pPr>
        <w:pStyle w:val="Heading2"/>
      </w:pPr>
      <w:r>
        <w:t xml:space="preserve">16. Conclusion</w:t>
      </w:r>
    </w:p>
    <w:p>
      <w:pPr>
        <w:pStyle w:val="FirstParagraph"/>
      </w:pPr>
      <w:r>
        <w:t xml:space="preserve">The fine structure constant α ≈ 1/137 emerges within DEF as a structural consequence of:</w:t>
      </w:r>
      <w:r>
        <w:t xml:space="preserve"> </w:t>
      </w:r>
      <w:r>
        <w:t xml:space="preserve">1. Dimensional emergence (Being → Existence/Happening → 4 modes)</w:t>
      </w:r>
      <w:r>
        <w:t xml:space="preserve"> </w:t>
      </w:r>
      <w:r>
        <w:t xml:space="preserve">2. Phase structure (3 phases per mode → 12D configuration space)</w:t>
      </w:r>
      <w:r>
        <w:t xml:space="preserve"> </w:t>
      </w:r>
      <w:r>
        <w:t xml:space="preserve">3. Self-reference (7 unavoidable gauge modes)</w:t>
      </w:r>
      <w:r>
        <w:t xml:space="preserve"> </w:t>
      </w:r>
      <w:r>
        <w:t xml:space="preserve">4. Bilinear coupling (144D operator space)</w:t>
      </w:r>
      <w:r>
        <w:t xml:space="preserve"> </w:t>
      </w:r>
      <w:r>
        <w:t xml:space="preserve">5. Gauge reduction (144 − 7 = 137 physical dimensions)</w:t>
      </w:r>
      <w:r>
        <w:t xml:space="preserve"> </w:t>
      </w:r>
      <w:r>
        <w:t xml:space="preserve">6. Isotropy (no preferred direction → 1/N scaling)</w:t>
      </w:r>
    </w:p>
    <w:p>
      <w:pPr>
        <w:pStyle w:val="BodyText"/>
      </w:pPr>
      <w:r>
        <w:t xml:space="preserve">Unlike numerological approaches, every number in this derivation (12, 7, 144, 137) is structurally determined. The only empirical input is the overall normalization scale.</w:t>
      </w:r>
    </w:p>
    <w:p>
      <w:pPr>
        <w:pStyle w:val="BodyText"/>
      </w:pPr>
      <w:r>
        <w:t xml:space="preserve">The framework makes a falsifiable prediction:</w:t>
      </w:r>
      <w:r>
        <w:t xml:space="preserve"> </w:t>
      </w:r>
      <w:r>
        <w:rPr>
          <w:bCs/>
          <w:b/>
        </w:rPr>
        <w:t xml:space="preserve">α has the form 1/(n² − k) with n and k fixed by dimensional emergence.</w:t>
      </w:r>
      <w:r>
        <w:t xml:space="preserve"> </w:t>
      </w:r>
      <w:r>
        <w:t xml:space="preserve">Any modification to the DEF axioms that changes n or k would change the predicted α.</w:t>
      </w:r>
    </w:p>
    <w:p>
      <w:pPr>
        <w:pStyle w:val="BodyText"/>
      </w:pPr>
      <w:r>
        <w:t xml:space="preserve">If this derivation is correct, the fine structure constant is not a mysterious given but a window into the structure of observation itself — the quantitative signature of what it means to be an embedded observer in an emergent dimensional reality.</w:t>
      </w:r>
    </w:p>
    <w:p>
      <w:r>
        <w:pict>
          <v:rect style="width:0;height:1.5pt" o:hralign="center" o:hrstd="t" o:hr="t"/>
        </w:pict>
      </w:r>
    </w:p>
    <w:bookmarkEnd w:id="41"/>
    <w:bookmarkStart w:id="42" w:name="appendix-a-summary-of-notation"/>
    <w:p>
      <w:pPr>
        <w:pStyle w:val="Heading2"/>
      </w:pPr>
      <w:r>
        <w:t xml:space="preserve">Appendix A: Summary of Notation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Symbol</w:t>
            </w:r>
          </w:p>
        </w:tc>
        <w:tc>
          <w:tcPr/>
          <w:p>
            <w:pPr>
              <w:pStyle w:val="Compact"/>
              <w:jc w:val="left"/>
            </w:pPr>
            <w:r>
              <w:t xml:space="preserve">Meaning</w:t>
            </w:r>
          </w:p>
        </w:tc>
      </w:tr>
      <w:tr>
        <w:tc>
          <w:tcPr/>
          <w:p>
            <w:pPr>
              <w:pStyle w:val="Compact"/>
              <w:jc w:val="left"/>
            </w:pPr>
            <w:r>
              <w:t xml:space="preserve">E, H</w:t>
            </w:r>
          </w:p>
        </w:tc>
        <w:tc>
          <w:tcPr/>
          <w:p>
            <w:pPr>
              <w:pStyle w:val="Compact"/>
              <w:jc w:val="left"/>
            </w:pPr>
            <w:r>
              <w:t xml:space="preserve">Existence, Happening (primordial dimensions)</w:t>
            </w:r>
          </w:p>
        </w:tc>
      </w:tr>
      <w:tr>
        <w:tc>
          <w:tcPr/>
          <w:p>
            <w:pPr>
              <w:pStyle w:val="Compact"/>
              <w:jc w:val="left"/>
            </w:pPr>
            <w:r>
              <w:t xml:space="preserve">S, R, D, X</w:t>
            </w:r>
          </w:p>
        </w:tc>
        <w:tc>
          <w:tcPr/>
          <w:p>
            <w:pPr>
              <w:pStyle w:val="Compact"/>
              <w:jc w:val="left"/>
            </w:pPr>
            <w:r>
              <w:t xml:space="preserve">Structure, Space, Dynamics, Exchange (4 modes)</w:t>
            </w:r>
          </w:p>
        </w:tc>
      </w:tr>
      <w:tr>
        <w:tc>
          <w:tcPr/>
          <w:p>
            <w:pPr>
              <w:pStyle w:val="Compact"/>
              <w:jc w:val="left"/>
            </w:pPr>
            <w:r>
              <w:t xml:space="preserve">e, c, r</w:t>
            </w:r>
          </w:p>
        </w:tc>
        <w:tc>
          <w:tcPr/>
          <w:p>
            <w:pPr>
              <w:pStyle w:val="Compact"/>
              <w:jc w:val="left"/>
            </w:pPr>
            <w:r>
              <w:t xml:space="preserve">Entry, Crisis, Resolution (3 phases)</w:t>
            </w:r>
          </w:p>
        </w:tc>
      </w:tr>
      <w:tr>
        <w:tc>
          <w:tcPr/>
          <w:p>
            <w:pPr>
              <w:pStyle w:val="Compact"/>
              <w:jc w:val="left"/>
            </w:pPr>
            <w:r>
              <w:t xml:space="preserve">u, v, w</w:t>
            </w:r>
          </w:p>
        </w:tc>
        <w:tc>
          <w:tcPr/>
          <w:p>
            <w:pPr>
              <w:pStyle w:val="Compact"/>
              <w:jc w:val="left"/>
            </w:pPr>
            <w:r>
              <w:t xml:space="preserve">Scale, Curvature, Oscillatory (phase basis)</w:t>
            </w:r>
          </w:p>
        </w:tc>
      </w:tr>
      <w:tr>
        <w:tc>
          <w:tcPr/>
          <w:p>
            <w:pPr>
              <w:pStyle w:val="Compact"/>
              <w:jc w:val="left"/>
            </w:pPr>
            <w:r>
              <w:t xml:space="preserve">Ω</w:t>
            </w:r>
          </w:p>
        </w:tc>
        <w:tc>
          <w:tcPr/>
          <w:p>
            <w:pPr>
              <w:pStyle w:val="Compact"/>
              <w:jc w:val="left"/>
            </w:pPr>
            <w:r>
              <w:t xml:space="preserve">Configuration space (dimension 12)</w:t>
            </w:r>
          </w:p>
        </w:tc>
      </w:tr>
      <w:tr>
        <w:tc>
          <w:tcPr/>
          <w:p>
            <w:pPr>
              <w:pStyle w:val="Compact"/>
              <w:jc w:val="left"/>
            </w:pPr>
            <w:r>
              <w:t xml:space="preserve">G</w:t>
            </w:r>
          </w:p>
        </w:tc>
        <w:tc>
          <w:tcPr/>
          <w:p>
            <w:pPr>
              <w:pStyle w:val="Compact"/>
              <w:jc w:val="left"/>
            </w:pPr>
            <w:r>
              <w:t xml:space="preserve">Gauge subspace (dimension 7)</w:t>
            </w:r>
          </w:p>
        </w:tc>
      </w:tr>
      <w:tr>
        <w:tc>
          <w:tcPr/>
          <w:p>
            <w:pPr>
              <w:pStyle w:val="Compact"/>
              <w:jc w:val="left"/>
            </w:pPr>
            <w:r>
              <w:t xml:space="preserve">n</w:t>
            </w:r>
          </w:p>
        </w:tc>
        <w:tc>
          <w:tcPr/>
          <w:p>
            <w:pPr>
              <w:pStyle w:val="Compact"/>
              <w:jc w:val="left"/>
            </w:pPr>
            <w:r>
              <w:t xml:space="preserve">Configuration dimension (= 12)</w:t>
            </w:r>
          </w:p>
        </w:tc>
      </w:tr>
      <w:tr>
        <w:tc>
          <w:tcPr/>
          <w:p>
            <w:pPr>
              <w:pStyle w:val="Compact"/>
              <w:jc w:val="left"/>
            </w:pPr>
            <w:r>
              <w:t xml:space="preserve">k</w:t>
            </w:r>
          </w:p>
        </w:tc>
        <w:tc>
          <w:tcPr/>
          <w:p>
            <w:pPr>
              <w:pStyle w:val="Compact"/>
              <w:jc w:val="left"/>
            </w:pPr>
            <w:r>
              <w:t xml:space="preserve">Gauge dimension (= 7)</w:t>
            </w:r>
          </w:p>
        </w:tc>
      </w:tr>
      <w:tr>
        <w:tc>
          <w:tcPr/>
          <w:p>
            <w:pPr>
              <w:pStyle w:val="Compact"/>
              <w:jc w:val="left"/>
            </w:pPr>
            <w:r>
              <w:t xml:space="preserve">N</w:t>
            </w:r>
          </w:p>
        </w:tc>
        <w:tc>
          <w:tcPr/>
          <w:p>
            <w:pPr>
              <w:pStyle w:val="Compact"/>
              <w:jc w:val="left"/>
            </w:pPr>
            <w:r>
              <w:t xml:space="preserve">Physical operator dimension (= n² − k = 137)</w:t>
            </w:r>
          </w:p>
        </w:tc>
      </w:tr>
      <w:tr>
        <w:tc>
          <w:tcPr/>
          <w:p>
            <w:pPr>
              <w:pStyle w:val="Compact"/>
              <w:jc w:val="left"/>
            </w:pPr>
            <w:r>
              <w:t xml:space="preserve">α</w:t>
            </w:r>
          </w:p>
        </w:tc>
        <w:tc>
          <w:tcPr/>
          <w:p>
            <w:pPr>
              <w:pStyle w:val="Compact"/>
              <w:jc w:val="left"/>
            </w:pPr>
            <w:r>
              <w:t xml:space="preserve">Fine structure constant (= 1/N = 1/137)</w:t>
            </w:r>
          </w:p>
        </w:tc>
      </w:tr>
    </w:tbl>
    <w:p>
      <w:r>
        <w:pict>
          <v:rect style="width:0;height:1.5pt" o:hralign="center" o:hrstd="t" o:hr="t"/>
        </w:pict>
      </w:r>
    </w:p>
    <w:bookmarkEnd w:id="42"/>
    <w:bookmarkStart w:id="43" w:name="appendix-b-the-331-structure"/>
    <w:p>
      <w:pPr>
        <w:pStyle w:val="Heading2"/>
      </w:pPr>
      <w:r>
        <w:t xml:space="preserve">Appendix B: The 3+3+1 Structure</w:t>
      </w:r>
    </w:p>
    <w:p>
      <w:pPr>
        <w:pStyle w:val="FirstParagraph"/>
      </w:pPr>
      <w:r>
        <w:t xml:space="preserve">The 7 self-reference modes decompose as:</w:t>
      </w:r>
    </w:p>
    <w:p>
      <w:pPr>
        <w:pStyle w:val="BodyText"/>
      </w:pPr>
      <w:r>
        <w:rPr>
          <w:bCs/>
          <w:b/>
        </w:rPr>
        <w:t xml:space="preserve">3 Existence-internal</w:t>
      </w:r>
      <w:r>
        <w:t xml:space="preserve"> </w:t>
      </w:r>
      <w:r>
        <w:t xml:space="preserve">(we cannot separate Structure from Space):</w:t>
      </w:r>
      <w:r>
        <w:t xml:space="preserve"> </w:t>
      </w:r>
      <w:r>
        <w:t xml:space="preserve">- Δ_E ⊗ u : scale gauge</w:t>
      </w:r>
      <w:r>
        <w:t xml:space="preserve"> </w:t>
      </w:r>
      <w:r>
        <w:t xml:space="preserve">- Δ_E ⊗ v : curvature gauge</w:t>
      </w:r>
      <w:r>
        <w:t xml:space="preserve"> </w:t>
      </w:r>
      <w:r>
        <w:t xml:space="preserve">- Δ_E ⊗ w : oscillation gauge</w:t>
      </w:r>
    </w:p>
    <w:p>
      <w:pPr>
        <w:pStyle w:val="BodyText"/>
      </w:pPr>
      <w:r>
        <w:rPr>
          <w:bCs/>
          <w:b/>
        </w:rPr>
        <w:t xml:space="preserve">3 Happening-internal</w:t>
      </w:r>
      <w:r>
        <w:t xml:space="preserve"> </w:t>
      </w:r>
      <w:r>
        <w:t xml:space="preserve">(we cannot separate Dynamics from Exchange):</w:t>
      </w:r>
      <w:r>
        <w:t xml:space="preserve"> </w:t>
      </w:r>
      <w:r>
        <w:t xml:space="preserve">- Δ_H ⊗ u : scale gauge</w:t>
      </w:r>
      <w:r>
        <w:t xml:space="preserve"> </w:t>
      </w:r>
      <w:r>
        <w:t xml:space="preserve">- Δ_H ⊗ v : curvature gauge</w:t>
      </w:r>
      <w:r>
        <w:t xml:space="preserve"> </w:t>
      </w:r>
      <w:r>
        <w:t xml:space="preserve">- Δ_H ⊗ w : oscillation gauge</w:t>
      </w:r>
    </w:p>
    <w:p>
      <w:pPr>
        <w:pStyle w:val="BodyText"/>
      </w:pPr>
      <w:r>
        <w:rPr>
          <w:bCs/>
          <w:b/>
        </w:rPr>
        <w:t xml:space="preserve">1 Interface</w:t>
      </w:r>
      <w:r>
        <w:t xml:space="preserve"> </w:t>
      </w:r>
      <w:r>
        <w:t xml:space="preserve">(we cannot observe the E-H lag directly):</w:t>
      </w:r>
      <w:r>
        <w:t xml:space="preserve"> </w:t>
      </w:r>
      <w:r>
        <w:t xml:space="preserve">- Δ_{E-H} ⊗ w : interface oscillation gauge</w:t>
      </w:r>
    </w:p>
    <w:p>
      <w:pPr>
        <w:pStyle w:val="BodyText"/>
      </w:pPr>
      <w:r>
        <w:t xml:space="preserve">The 3+3+1 = 7 structure is not assumed but derived from:</w:t>
      </w:r>
      <w:r>
        <w:t xml:space="preserve"> </w:t>
      </w:r>
      <w:r>
        <w:t xml:space="preserve">- 2 pair differences × 3 phase profiles = 6 internal</w:t>
      </w:r>
      <w:r>
        <w:t xml:space="preserve"> </w:t>
      </w:r>
      <w:r>
        <w:t xml:space="preserve">- 1 interface difference × 1 unfixed phase profile = 1 interface</w:t>
      </w:r>
    </w:p>
    <w:p>
      <w:pPr>
        <w:pStyle w:val="BodyText"/>
      </w:pPr>
      <w:r>
        <w:t xml:space="preserve">This structure may correspond to the 3+1 dimensions of spacetime plus 3</w:t>
      </w:r>
      <w:r>
        <w:t xml:space="preserve"> </w:t>
      </w:r>
      <w:r>
        <w:t xml:space="preserve">“</w:t>
      </w:r>
      <w:r>
        <w:t xml:space="preserve">hidden</w:t>
      </w:r>
      <w:r>
        <w:t xml:space="preserve">”</w:t>
      </w:r>
      <w:r>
        <w:t xml:space="preserve"> </w:t>
      </w:r>
      <w:r>
        <w:t xml:space="preserve">dimensions — but this identification requires further investigation.</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2026-02-04T09:45:34Z</dcterms:created>
  <dcterms:modified xsi:type="dcterms:W3CDTF">2026-02-04T09:45:34Z</dcterms:modified>
</cp:coreProperties>
</file>

<file path=docProps/custom.xml><?xml version="1.0" encoding="utf-8"?>
<Properties xmlns="http://schemas.openxmlformats.org/officeDocument/2006/custom-properties" xmlns:vt="http://schemas.openxmlformats.org/officeDocument/2006/docPropsVTypes"/>
</file>