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i/>
          <w:iCs/>
          <w:color w:val="B00000"/>
          <w:sz w:val="18"/>
          <w:szCs w:val="18"/>
        </w:rPr>
        <w:t xml:space="preserve">[MINUTA — proposta sujeita à análise do Diretor Jurídico e à aprovação da Mesa/Presidência. Não constitui norma vigente.]</w:t>
      </w:r>
    </w:p>
    <w:p>
      <w:pPr>
        <w:spacing w:after="40" w:line="276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CÂMARA MUNICIPAL DE ITANHANDU</w:t>
      </w:r>
    </w:p>
    <w:p>
      <w:pPr>
        <w:spacing w:after="240" w:line="276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ESTADO DE MINAS GERAIS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PORTARIA Nº [PREENCHER]/2026</w:t>
      </w:r>
    </w:p>
    <w:p>
      <w:pPr>
        <w:spacing w:after="240"/>
        <w:ind w:left="4000"/>
        <w:jc w:val="both"/>
      </w:pPr>
      <w:r>
        <w:rPr>
          <w:i/>
          <w:iCs/>
          <w:sz w:val="20"/>
          <w:szCs w:val="20"/>
        </w:rPr>
        <w:t xml:space="preserve">Regulamenta o art. 95, especialmente o seu § 2º, da Lei Federal nº 14.133, de 1º de abril de 2021 — substituição do instrumento de contrato e contratação verbal para pequenas compras e serviços de pronto pagamento — no âmbito da Câmara Municipal de Itanhandu.</w:t>
      </w:r>
    </w:p>
    <w:p>
      <w:pPr>
        <w:spacing w:after="20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Presidente da Câmara Municipal de Itanhandu, no uso de suas atribuições, e considerando o disposto no art. 95 da Lei Federal nº 14.133, de 1º de abril de 2021, RESOLVE:</w:t>
      </w:r>
    </w:p>
    <w:p>
      <w:pPr>
        <w:spacing w:after="140" w:line="276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CAPÍTULO I — DISPOSIÇÕES PRELIMINARES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1º </w:t>
      </w:r>
      <w:r>
        <w:rPr>
          <w:sz w:val="22"/>
          <w:szCs w:val="22"/>
        </w:rPr>
        <w:t xml:space="preserve">Esta Portaria regulamenta, no âmbito da Câmara Municipal de Itanhandu, as hipóteses do art. 95 da Lei Federal nº 14.133, de 2021, relativas: I – à substituição do instrumento de contrato por outro instrumento hábil (art. 95, caput, I e II); e II – à contratação verbal para pequenas compras e serviços de prestação de pronto pagamento (art. 95, § 2º).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2º </w:t>
      </w:r>
      <w:r>
        <w:rPr>
          <w:sz w:val="22"/>
          <w:szCs w:val="22"/>
        </w:rPr>
        <w:t xml:space="preserve">Na aplicação desta Portaria serão observados os princípios da legalidade, da impessoalidade, da moralidade, da publicidade, da eficiência, da economicidade, da razoabilidade, do interesse público e da probidade administrativa, bem como o regime de execução da despesa pública da Lei nº 4.320, de 17 de março de 1964.</w:t>
      </w:r>
    </w:p>
    <w:p>
      <w:pPr>
        <w:spacing w:after="140" w:line="276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CAPÍTULO II — DA SUBSTITUIÇÃO DO INSTRUMENTO DE CONTRATO (art. 95, caput)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3º </w:t>
      </w:r>
      <w:r>
        <w:rPr>
          <w:sz w:val="22"/>
          <w:szCs w:val="22"/>
        </w:rPr>
        <w:t xml:space="preserve">O termo de contrato é facultativo, podendo ser substituído por outro instrumento hábil — carta-contrato, nota de empenho de despesa, autorização de compra ou ordem de fornecimento ou de execução de serviço — nas seguintes hipóteses: I – dispensa de licitação em razão do valor (art. 75, I e II, da Lei nº 14.133, de 2021); II – compras com entrega imediata e integral dos bens adquiridos e das quais não resultem obrigações futuras, inclusive quanto a assistência técnica, independentemente do valor.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Parágrafo único. </w:t>
      </w:r>
      <w:r>
        <w:rPr>
          <w:sz w:val="22"/>
          <w:szCs w:val="22"/>
        </w:rPr>
        <w:t xml:space="preserve">Aos instrumentos substitutivos aplica-se, no que couber, o disposto no art. 92 da Lei nº 14.133, de 2021.</w:t>
      </w:r>
    </w:p>
    <w:p>
      <w:pPr>
        <w:spacing w:after="140" w:line="276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CAPÍTULO III — DA CONTRATAÇÃO VERBAL PARA PEQUENAS COMPRAS E PRONTO PAGAMENTO (art. 95, § 2º)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4º </w:t>
      </w:r>
      <w:r>
        <w:rPr>
          <w:sz w:val="22"/>
          <w:szCs w:val="22"/>
        </w:rPr>
        <w:t xml:space="preserve">É admitida a contratação verbal, sem formalização de instrumento contratual escrito, para pequenas compras e para a prestação de serviços de pronto pagamento de valor não superior ao limite do art. 95, § 2º, da Lei nº 14.133, de 2021.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§ 1º </w:t>
      </w:r>
      <w:r>
        <w:rPr>
          <w:sz w:val="22"/>
          <w:szCs w:val="22"/>
        </w:rPr>
        <w:t xml:space="preserve">O limite a que se refere o caput é atualizado anualmente por decreto federal, correspondendo a R$ 13.098,41 (treze mil, noventa e oito reais e quarenta e um centavos), conforme o Decreto Federal nº 12.807, de 2025, vigente a partir de 1º de janeiro de 2026.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§ 2º </w:t>
      </w:r>
      <w:r>
        <w:rPr>
          <w:sz w:val="22"/>
          <w:szCs w:val="22"/>
        </w:rPr>
        <w:t xml:space="preserve">[OPCIONAL — PREENCHER, se a Mesa quiser teto interno mais conservador: limite de até ____% do valor previsto no § 1º.]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5º </w:t>
      </w:r>
      <w:r>
        <w:rPr>
          <w:sz w:val="22"/>
          <w:szCs w:val="22"/>
        </w:rPr>
        <w:t xml:space="preserve">Enquadram-se como pequenas compras e serviços de pronto pagamento as despesas relativas a relações econômicas simples, de caráter excepcional, não passíveis de planejamento, das quais não resultem obrigações futuras — assim entendidas, entre outras, as compras de pronta entrega e os serviços de execução e pagamento imediatos.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§ 1º </w:t>
      </w:r>
      <w:r>
        <w:rPr>
          <w:sz w:val="22"/>
          <w:szCs w:val="22"/>
        </w:rPr>
        <w:t xml:space="preserve">É vedado o uso da contratação verbal para despesas passíveis de planejamento, que devem ser submetidas ao Plano de Contratações Anual e ao procedimento de licitação, dispensa ou inexigibilidade cabível.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§ 2º </w:t>
      </w:r>
      <w:r>
        <w:rPr>
          <w:sz w:val="22"/>
          <w:szCs w:val="22"/>
        </w:rPr>
        <w:t xml:space="preserve">É vedada a utilização desta Portaria para despesas sem interesse legislativo, de privilégio ou de interesse particular.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6º </w:t>
      </w:r>
      <w:r>
        <w:rPr>
          <w:sz w:val="22"/>
          <w:szCs w:val="22"/>
        </w:rPr>
        <w:t xml:space="preserve">Por força do art. 95, § 2º, da Lei nº 14.133, de 2021, as contratações de que trata este Capítulo dispensam as formalidades próprias do processo de contratação direta por valor, em especial a instauração e instrução de processo, a publicação prévia de aviso, a justificativa formal de escolha do contratado, a pesquisa de preços formalizada e a exigência de documentos de habilitação.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Parágrafo único. </w:t>
      </w:r>
      <w:r>
        <w:rPr>
          <w:sz w:val="22"/>
          <w:szCs w:val="22"/>
        </w:rPr>
        <w:t xml:space="preserve">A dispensa de que trata o caput não afasta o regime orçamentário e financeiro da Lei nº 4.320, de 1964, quanto a empenho, liquidação e pagamento.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7º </w:t>
      </w:r>
      <w:r>
        <w:rPr>
          <w:sz w:val="22"/>
          <w:szCs w:val="22"/>
        </w:rPr>
        <w:t xml:space="preserve">Ainda que dispensadas as formalidades do art. 6º, a contratação verbal observará, no mínimo: I – verificação prévia, pelo agente requisitante, da compatibilidade do preço com o praticado no mercado, dispensada a formalização da pesquisa; II – identificação do credor (nome e CPF ou CNPJ); III – emissão da nota de empenho prévia à despesa, na dotação própria; IV – comprovação da despesa por nota fiscal ou documento fiscal equivalente; e V – atesto do recebimento do bem ou da prestação do serviço pelo agente responsável.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§ 1º </w:t>
      </w:r>
      <w:r>
        <w:rPr>
          <w:sz w:val="22"/>
          <w:szCs w:val="22"/>
        </w:rPr>
        <w:t xml:space="preserve">O agente que requisitou a compra responde pela aquisição por preço excessivo, quando comprovada a incompatibilidade com o mercado.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§ 2º </w:t>
      </w:r>
      <w:r>
        <w:rPr>
          <w:sz w:val="22"/>
          <w:szCs w:val="22"/>
        </w:rPr>
        <w:t xml:space="preserve">O pagamento será efetuado diretamente pela Câmara Municipal ao fornecedor ou prestador, segundo o processo normal de execução da despesa, sem prejuízo da eventual utilização do regime de adiantamento, na forma de legislação local específica, quando a despesa não puder subordinar-se ao processo normal de aplicação.</w:t>
      </w:r>
    </w:p>
    <w:p>
      <w:pPr>
        <w:spacing w:after="140" w:line="276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CAPÍTULO IV — DO CONTROLE, DO FRACIONAMENTO E DA PUBLICIDADE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8º </w:t>
      </w:r>
      <w:r>
        <w:rPr>
          <w:sz w:val="22"/>
          <w:szCs w:val="22"/>
        </w:rPr>
        <w:t xml:space="preserve">Para aferição do limite e prevenção de fracionamento, observar-se-ão: I – o somatório despendido no exercício financeiro com objetos de mesma natureza, assim entendidos os do mesmo ramo de atividade, identificado pelo nível de subclasse da Classificação Nacional de Atividades Econômicas – CNAE, nos termos do art. 2º, §§ 1º e 2º, da Portaria nº 06/2024; e II – o limite de 10% (dez por cento) do valor previsto para as pequenas compras e os serviços de pronto pagamento, na forma do art. 2º, § 3º, II, da Portaria nº 04/2024.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Parágrafo único. </w:t>
      </w:r>
      <w:r>
        <w:rPr>
          <w:sz w:val="22"/>
          <w:szCs w:val="22"/>
        </w:rPr>
        <w:t xml:space="preserve">As contratações realizadas com base nesta Portaria serão registradas em controle próprio, com indicação do objeto, da subclasse CNAE, do valor, da data e do fundamento, para fins de acompanhamento do somatório anual (Anexo III).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9º </w:t>
      </w:r>
      <w:r>
        <w:rPr>
          <w:sz w:val="22"/>
          <w:szCs w:val="22"/>
        </w:rPr>
        <w:t xml:space="preserve">O ato de despesa será publicado, por meio de extrato, no Portal Nacional de Contratações Públicas – PNCP e no Diário Oficial do Município, observado o art. 94 da Lei nº 14.133, de 2021, e o art. 7º da Lei nº 12.527, de 2011, sem prejuízo das regras de transição do art. 176 da Lei nº 14.133, de 2021, quando aplicáveis (Anexo IV).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10. </w:t>
      </w:r>
      <w:r>
        <w:rPr>
          <w:sz w:val="22"/>
          <w:szCs w:val="22"/>
        </w:rPr>
        <w:t xml:space="preserve">Compete à Administração controlar as situações que efetivamente justificam a contratação verbal, a observância do limite de valor e a razoabilidade dos gastos, realizando-a apenas em casos excepcionais.</w:t>
      </w:r>
    </w:p>
    <w:p>
      <w:pPr>
        <w:spacing w:after="140" w:line="276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CAPÍTULO V — DISPOSIÇÕES FINAIS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11. </w:t>
      </w:r>
      <w:r>
        <w:rPr>
          <w:sz w:val="22"/>
          <w:szCs w:val="22"/>
        </w:rPr>
        <w:t xml:space="preserve">Integram esta Portaria os seguintes anexos: Anexo I – Requisição e Autorização de Pequena Compra / Serviço de Pronto Pagamento; Anexo II – Termo de Recebimento e Atesto; Anexo III – Ficha de Controle Anual por Subclasse CNAE; Anexo IV – Extrato para Publicação.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12. </w:t>
      </w:r>
      <w:r>
        <w:rPr>
          <w:sz w:val="22"/>
          <w:szCs w:val="22"/>
        </w:rPr>
        <w:t xml:space="preserve">Os casos omissos serão dirimidos pelo [PREENCHER: Presidente da Câmara / Diretor Geral / Diretor Jurídico].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Art. 13. </w:t>
      </w:r>
      <w:r>
        <w:rPr>
          <w:sz w:val="22"/>
          <w:szCs w:val="22"/>
        </w:rPr>
        <w:t xml:space="preserve">Esta Portaria entra em vigor na data de sua publicação.</w:t>
      </w:r>
    </w:p>
    <w:p>
      <w:pPr>
        <w:spacing w:after="300" w:line="276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Itanhandu, [PREENCHER: data].</w:t>
      </w:r>
    </w:p>
    <w:p>
      <w:pPr>
        <w:spacing w:after="20" w:line="276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</w:t>
      </w:r>
    </w:p>
    <w:p>
      <w:pPr>
        <w:spacing w:after="0" w:line="276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[PREENCHER: nome do Presidente]</w:t>
      </w:r>
    </w:p>
    <w:p>
      <w:pPr>
        <w:spacing w:after="0" w:line="276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Presidente da Câmara Municipal de Itanhandu</w:t>
      </w:r>
    </w:p>
    <w:p>
      <w:pPr>
        <w:pageBreakBefore/>
        <w:spacing w:after="60"/>
        <w:jc w:val="center"/>
      </w:pPr>
      <w:r>
        <w:rPr>
          <w:b/>
          <w:bCs/>
          <w:sz w:val="24"/>
          <w:szCs w:val="24"/>
        </w:rPr>
        <w:t xml:space="preserve">ANEXO I</w:t>
      </w:r>
    </w:p>
    <w:p>
      <w:pPr>
        <w:spacing w:after="40" w:line="276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REQUISIÇÃO E AUTORIZAÇÃO DE PEQUENA COMPRA / SERVIÇO DE PRONTO PAGAMENTO</w:t>
      </w:r>
    </w:p>
    <w:p>
      <w:pPr>
        <w:spacing w:after="160" w:line="276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(art. 95, § 2º, da Lei nº 14.133/2021 — Portaria nº [   ]/2026)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Registro nº / Exercício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 /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da requisição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Setor / agente requisitante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Descrição do objeto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Subclasse CNAE do objeto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Quantidade / unidade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Valor da contratação (R$)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both"/>
      </w:pPr>
      <w:r>
        <w:rPr>
          <w:b/>
          <w:bCs/>
          <w:i w:val="false"/>
          <w:iCs w:val="false"/>
          <w:sz w:val="20"/>
          <w:szCs w:val="20"/>
        </w:rPr>
        <w:t xml:space="preserve">Justificativa (pronto pagamento, caráter excepcional, não passível de planejamento e ausência de obrigações futuras — art. 5º):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907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both"/>
      </w:pPr>
      <w:r>
        <w:rPr>
          <w:b/>
          <w:bCs/>
          <w:i w:val="false"/>
          <w:iCs w:val="false"/>
          <w:sz w:val="20"/>
          <w:szCs w:val="20"/>
        </w:rPr>
        <w:t xml:space="preserve">Fornecedor / prestador: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Nome / razão social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CPF / CNPJ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Contato (tel./e-mail)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both"/>
      </w:pPr>
      <w:r>
        <w:rPr>
          <w:b/>
          <w:bCs/>
          <w:i w:val="false"/>
          <w:iCs w:val="false"/>
          <w:sz w:val="20"/>
          <w:szCs w:val="20"/>
        </w:rPr>
        <w:t xml:space="preserve">Verificação prévia de compatibilidade de preço (art. 7º, I — dispensada formalização):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Parâmetro consultado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(  ) sítio/loja   (  ) cotação verbal   (  ) contratação anterior   (  ) outro: ______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Preço de mercado verificado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Compatível com o mercado?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(  ) Sim   (  ) Não</w:t>
            </w:r>
          </w:p>
        </w:tc>
      </w:tr>
    </w:tbl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both"/>
      </w:pPr>
      <w:r>
        <w:rPr>
          <w:b/>
          <w:bCs/>
          <w:i w:val="false"/>
          <w:iCs w:val="false"/>
          <w:sz w:val="20"/>
          <w:szCs w:val="20"/>
        </w:rPr>
        <w:t xml:space="preserve">Controle de limite e fracionamento (art. 8º):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Acumulado no exercício na mesma subclasse CNAE (R$)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Soma + esta contratação (R$)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Dentro do limite do art. 95, §2º (R$ 13.098,41 — 2026)?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(  ) Sim   (  ) Não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Dentro da regra anti-fracionamento (art. 75/CNAE)?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(  ) Sim   (  ) Não — neste caso, NÃO usar contratação verbal</w:t>
            </w:r>
          </w:p>
        </w:tc>
      </w:tr>
    </w:tbl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Nº da nota de empenho (art. 7º, III)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Dotação orçamentária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sz w:val="20"/>
          <w:szCs w:val="20"/>
        </w:rPr>
        <w:t xml:space="preserve">Autorização da autoridade competente:</w:t>
      </w:r>
    </w:p>
    <w:p>
      <w:pPr>
        <w:spacing w:after="20" w:line="276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</w:t>
      </w:r>
    </w:p>
    <w:p>
      <w:pPr>
        <w:spacing w:after="0" w:line="276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Nome / cargo / data</w:t>
      </w:r>
    </w:p>
    <w:p>
      <w:pPr>
        <w:pageBreakBefore/>
        <w:spacing w:after="60"/>
        <w:jc w:val="center"/>
      </w:pPr>
      <w:r>
        <w:rPr>
          <w:b/>
          <w:bCs/>
          <w:sz w:val="24"/>
          <w:szCs w:val="24"/>
        </w:rPr>
        <w:t xml:space="preserve">ANEXO II</w:t>
      </w:r>
    </w:p>
    <w:p>
      <w:pPr>
        <w:spacing w:after="40" w:line="276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TERMO DE RECEBIMENTO E ATESTO</w:t>
      </w:r>
    </w:p>
    <w:p>
      <w:pPr>
        <w:spacing w:after="160" w:line="276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(liquidação da despesa — art. 7º, IV e V, da Portaria nº [   ]/2026)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Registro nº (Anexo I)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Fornecedor / prestador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Nota fiscal / documento nº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Valor (R$)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Atesto que o bem foi recebido / o serviço foi prestado, em conformidade com o objeto e o preço pactuados: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Recebimento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(  ) integral   (  ) parcial: ____________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Conformidade (qualidade/quantidade)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(  ) conforme   (  ) ressalva: ____________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" w:line="276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</w:t>
      </w:r>
    </w:p>
    <w:p>
      <w:pPr>
        <w:spacing w:after="0" w:line="276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Responsável pelo recebimento — nome / cargo / data</w:t>
      </w:r>
    </w:p>
    <w:p>
      <w:pPr>
        <w:pageBreakBefore/>
        <w:spacing w:after="60"/>
        <w:jc w:val="center"/>
      </w:pPr>
      <w:r>
        <w:rPr>
          <w:b/>
          <w:bCs/>
          <w:sz w:val="24"/>
          <w:szCs w:val="24"/>
        </w:rPr>
        <w:t xml:space="preserve">ANEXO III</w:t>
      </w:r>
    </w:p>
    <w:p>
      <w:pPr>
        <w:spacing w:after="40" w:line="276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FICHA DE CONTROLE ANUAL POR SUBCLASSE CNAE</w:t>
      </w:r>
    </w:p>
    <w:p>
      <w:pPr>
        <w:spacing w:after="160" w:line="276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(prevenção de fracionamento — art. 8º da Portaria nº [   ]/2026)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Exercício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Subclasse CNAE / ramo de atividade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Limite de referência (art. 75, II — R$ 65.492,11 / 2026)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070"/>
        <w:gridCol w:w="1900"/>
        <w:gridCol w:w="950"/>
        <w:gridCol w:w="95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Reg. nº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Fornecedor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Valor (R$)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Acum. (R$)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Atenção: ao se aproximar do limite anual na mesma subclasse CNAE, suspender o uso da contratação verbal e instaurar o procedimento de dispensa por valor ou a licitação cabível, sob pena de fracionamento indevido.</w:t>
      </w:r>
    </w:p>
    <w:p>
      <w:pPr>
        <w:pageBreakBefore/>
        <w:spacing w:after="60"/>
        <w:jc w:val="center"/>
      </w:pPr>
      <w:r>
        <w:rPr>
          <w:b/>
          <w:bCs/>
          <w:sz w:val="24"/>
          <w:szCs w:val="24"/>
        </w:rPr>
        <w:t xml:space="preserve">ANEXO IV</w:t>
      </w:r>
    </w:p>
    <w:p>
      <w:pPr>
        <w:spacing w:after="40" w:line="276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EXTRATO PARA PUBLICAÇÃO (PNCP / DIÁRIO OFICIAL)</w:t>
      </w:r>
    </w:p>
    <w:p>
      <w:pPr>
        <w:spacing w:after="160" w:line="276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(art. 9º da Portaria nº [   ]/2026)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Câmara Municipal de Itanhandu/MG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Fornecedor / prestador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CPF / CNPJ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Valor (R$)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Fundamento legal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Art. 95, § 2º, da Lei nº 14.133/2021; Portaria nº [   ]/2026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both"/>
      </w:pPr>
      <w:r>
        <w:rPr>
          <w:b/>
          <w:bCs/>
          <w:i w:val="false"/>
          <w:iCs w:val="false"/>
          <w:sz w:val="20"/>
          <w:szCs w:val="20"/>
        </w:rPr>
        <w:t xml:space="preserve">Modelo de redação do extrato: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“CÂMARA MUNICIPAL DE ITANHANDU/MG — Extrato de despesa. Objeto: [____]. Contratado(a): [____], CPF/CNPJ [____]. Valor: R$ [____]. Fundamento: art. 95, § 2º, da Lei nº 14.133/2021, regulamentado pela Portaria nº [   ]/2026. Itanhandu, [data].”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2026-06-29T03:11:27.545Z</dcterms:created>
  <dcterms:modified xsi:type="dcterms:W3CDTF">2026-06-29T03:11:27.545Z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