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TERMO DE ADJUDICAÇÃO E HOMOLOGAÇÃO</w:t>
      </w:r>
    </w:p>
    <w:p/>
    <w:p>
      <w:pPr>
        <w:jc w:val="left"/>
      </w:pPr>
      <w:r>
        <w:t>Processo Licitatório: {{NUMERO_PROCESSO}}</w:t>
      </w:r>
    </w:p>
    <w:p>
      <w:pPr>
        <w:jc w:val="left"/>
      </w:pPr>
      <w:r>
        <w:t>Dispensa nº: {{NUMERO_DISPENSA}}</w:t>
      </w:r>
    </w:p>
    <w:p>
      <w:pPr>
        <w:jc w:val="left"/>
      </w:pPr>
      <w:r>
        <w:t>Aviso de Contratação Direta nº: {{NUMERO_AVISO}}</w:t>
      </w:r>
    </w:p>
    <w:p>
      <w:pPr>
        <w:jc w:val="left"/>
      </w:pPr>
      <w:r>
        <w:t>Objeto: {{OBJETO}}</w:t>
      </w:r>
    </w:p>
    <w:p/>
    <w:p>
      <w:pPr>
        <w:jc w:val="both"/>
      </w:pPr>
      <w:r>
        <w:t>O Presidente da Câmara Municipal de Itanhandu, no uso de suas atribuições e nos termos do art. 71 da Lei nº 14.133/2021 e do art. 19 da Portaria nº 06/2024, considerando o julgamento e a habilitação registrados na Ata de Julgamento constante dos autos, e verificada a regularidade do procedimento de contratação direta por dispensa de licitação, com fundamento no art. {{FUNDAMENTO_LEGAL}}, da Lei nº 14.133/2021, RESOLVE:</w:t>
      </w:r>
    </w:p>
    <w:p/>
    <w:p>
      <w:pPr>
        <w:jc w:val="both"/>
      </w:pPr>
      <w:r>
        <w:t>1. ADJUDICAR o objeto ao fornecedor vencedor {{VENCEDOR}}, CNPJ/CPF {{CNPJ_CPF}}, pelo valor de R$ {{VALOR_VENCEDOR}} ({{VALOR_VENCEDOR_EXTENSO}});</w:t>
      </w:r>
    </w:p>
    <w:p>
      <w:pPr>
        <w:jc w:val="both"/>
      </w:pPr>
      <w:r>
        <w:t>2. HOMOLOGAR o procedimento, por estar regular e em conformidade com a Lei nº 14.133/2021 e a Portaria nº 06/2024;</w:t>
      </w:r>
    </w:p>
    <w:p>
      <w:pPr>
        <w:jc w:val="both"/>
      </w:pPr>
      <w:r>
        <w:t>3. DETERMINAR o empenho da despesa e a formalização da contratação por termo de contrato ou instrumento equivalente (nota de empenho/autorização de fornecimento), conforme o caso;</w:t>
      </w:r>
    </w:p>
    <w:p>
      <w:pPr>
        <w:jc w:val="both"/>
      </w:pPr>
      <w:r>
        <w:t>4. DETERMINAR a divulgação do presente ato e do extrato da contratação no sítio eletrônico oficial da Câmara e, quando aplicável, no Portal Nacional de Contratações Públicas - PNCP (art. 72, parágrafo único, e art. 94 da Lei nº 14.133/2021).</w:t>
      </w:r>
    </w:p>
    <w:p/>
    <w:p>
      <w:r>
        <w:rPr>
          <w:i/>
        </w:rPr>
        <w:t>Nota: havendo adjudicação por item/lote a fornecedores distintos, relacionar os vencedores por item, conforme o Anexo Único da Ata de Julgamento.</w:t>
      </w:r>
    </w:p>
    <w:p/>
    <w:p>
      <w:pPr>
        <w:jc w:val="left"/>
      </w:pPr>
      <w:r>
        <w:t>Itanhandu, {{DATA}}</w:t>
      </w:r>
    </w:p>
    <w:p/>
    <w:p/>
    <w:p>
      <w:pPr>
        <w:jc w:val="left"/>
      </w:pPr>
      <w:r>
        <w:t>{{NOME_PRESIDENTE}}</w:t>
      </w:r>
    </w:p>
    <w:p>
      <w:pPr>
        <w:jc w:val="left"/>
      </w:pPr>
      <w:r>
        <w:t>Presidente da Câmara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2397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Calibri" w:hAnsi="Calibri" w:cs="Calibri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