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CMITitulodoDocumento"/>
        <w:keepNext/>
        <w:spacing w:line="240" w:lineRule="auto" w:after="120" w:before="3600"/>
        <w:jc w:val="center"/>
      </w:pPr>
      <w:r>
        <w:rPr>
          <w:rFonts w:ascii="Calibri" w:hAnsi="Calibri" w:cs="Calibri"/>
          <w:b/>
          <w:i w:val="0"/>
          <w:color w:val="000000"/>
          <w:sz w:val="52"/>
          <w:spacing w:val="80"/>
        </w:rPr>
        <w:t>PLANO DE</w:t>
      </w:r>
    </w:p>
    <w:p>
      <w:pPr>
        <w:pStyle w:val="CMITitulodoDocumento"/>
        <w:keepNext/>
        <w:spacing w:line="240" w:lineRule="auto" w:after="120" w:before="0"/>
        <w:jc w:val="center"/>
      </w:pPr>
      <w:r>
        <w:rPr>
          <w:rFonts w:ascii="Calibri" w:hAnsi="Calibri" w:cs="Calibri"/>
          <w:b/>
          <w:i w:val="0"/>
          <w:color w:val="000000"/>
          <w:sz w:val="52"/>
          <w:spacing w:val="80"/>
        </w:rPr>
        <w:t>CONTRATAÇÕES</w:t>
      </w:r>
    </w:p>
    <w:p>
      <w:pPr>
        <w:pStyle w:val="CMITitulodoDocumento"/>
        <w:keepNext/>
        <w:spacing w:line="240" w:lineRule="auto" w:after="120" w:before="0"/>
        <w:jc w:val="center"/>
      </w:pPr>
      <w:r>
        <w:rPr>
          <w:rFonts w:ascii="Calibri" w:hAnsi="Calibri" w:cs="Calibri"/>
          <w:b/>
          <w:i w:val="0"/>
          <w:color w:val="000000"/>
          <w:sz w:val="52"/>
          <w:spacing w:val="80"/>
        </w:rPr>
        <w:t>ANUAL — {{EXERCICIO_PCA}}</w:t>
      </w:r>
    </w:p>
    <w:p>
      <w:pPr>
        <w:pStyle w:val="CMITitulodoDocumento"/>
        <w:keepNext/>
        <w:spacing w:line="240" w:lineRule="auto" w:after="80" w:before="3400"/>
        <w:jc w:val="center"/>
      </w:pPr>
      <w:r>
        <w:rPr>
          <w:rFonts w:ascii="Calibri" w:hAnsi="Calibri" w:cs="Calibri"/>
          <w:b/>
          <w:i w:val="0"/>
          <w:color w:val="000000"/>
          <w:sz w:val="28"/>
        </w:rPr>
        <w:t>CÂMARA MUNICIPAL DE ITANHANDU</w:t>
      </w:r>
    </w:p>
    <w:p>
      <w:pPr>
        <w:pStyle w:val="CMITitulodoDocumento"/>
        <w:keepNext/>
        <w:spacing w:line="240" w:lineRule="auto" w:after="240" w:before="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PODER LEGISLATIVO DE ITANHANDU — MINAS GERAIS</w:t>
      </w:r>
    </w:p>
    <w:p>
      <w:r>
        <w:br w:type="page"/>
      </w:r>
    </w:p>
    <w:p>
      <w:pPr>
        <w:pStyle w:val="CMITitulodoDocumento"/>
        <w:keepNext/>
        <w:spacing w:line="240" w:lineRule="auto" w:after="360" w:before="2400"/>
        <w:jc w:val="center"/>
      </w:pPr>
      <w:r>
        <w:rPr>
          <w:rFonts w:ascii="Calibri" w:hAnsi="Calibri" w:cs="Calibri"/>
          <w:b/>
          <w:i w:val="0"/>
          <w:color w:val="000000"/>
          <w:sz w:val="28"/>
        </w:rPr>
        <w:t>Plano de Contratações Anual — PCA {{EXERCICIO_PCA}}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Elaborado por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{{RESPONSAVEL_DFD}} — responsável pela elaboração dos Documentos de Formalização de Demanda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Coordenado por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{{CONTADOR}} — Contador (art. 4º da Portaria nº 04/2024), CRC {{CRC_CONTADOR}}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Revisado por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{{CONTROLADOR_INTERNO}} — Controladoria Interna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Aprovado por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{{PRESIDENTE}} — Presidência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Legislatura / Biênio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{{BIENIO}}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Exercício do Plano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{{EXERCICIO_PCA}}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Exercício-base dos dados de execução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{{EXERCICIO_BASE}}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Data de elaboração</w:t>
            </w:r>
          </w:p>
        </w:tc>
        <w:tc>
          <w:tcPr>
            <w:tcW w:type="dxa" w:w="5953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{{DATA_ELABORACAO}}</w:t>
            </w:r>
          </w:p>
        </w:tc>
      </w:tr>
    </w:tbl>
    <w:p/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C00000"/>
          <w:sz w:val="20"/>
        </w:rPr>
        <w:t>Confira os nomes e o biênio contra a portaria de posse vigente na data da assinatura. O bloco de assinaturas ao final deve reproduzir exatamente estes nomes e cargos.</w:t>
      </w:r>
    </w:p>
    <w:p>
      <w:r>
        <w:br w:type="page"/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1. APRESENTAÇÃO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 Lei nº 14.133, de 1º de abril de 2021, estabelece diretrizes e obrigações aos entes para a aquisição de produtos e a contratação de serviços. Dentre as iniciativas exigidas pelo normativo, destaca-se o caráter do planejamento, que deve propiciar maior previsibilidade, controle e eficiência aos órgãos públicos.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Nos termos do art. 1º da Portaria nº 04/2024 desta Casa, o Plano de Contratações Anual — PCA é o documento que consolida as demandas que a Câmara Municipal planeja contratar no exercício subsequente ao de sua elaboração, com o objetivo de organizar as contratações e garantir o uso racional dos recursos públicos, o alinhamento estratégico e orçamentário, além de: obter economia de escala, padronização de produtos e serviços e redução de custos processuais; informar as intenções detalhadas de aquisição ao mercado fornecedor; subsidiar o planejamento das leis orçamentárias; e evitar o fracionamento de despesas.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O fundamento do Plano está no inciso VII do caput do art. 12 da Lei nº 14.133/2021, cujo § 1º determina que o plano de contratações anual seja divulgado e mantido à disposição do público em sítio eletrônico oficial e observado pelo ente federativo na realização de licitações e na execução dos contratos. O art. 18 da mesma Lei exige que a fase preparatória de cada processo se compatibilize com o Plano, e o inciso II do § 1º do art. 18 exige que o estudo técnico preliminar demonstre a previsão da contratação nele. Nos casos omissos, o parágrafo único do art. 9º da Portaria nº 04/2024 autoriza a aplicação subsidiária do Decreto Federal nº 10.947, de 25 de janeiro de 2022.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Este PCA foi construído a partir dos Documentos de Formalização de Demanda — DFD apresentados pelas unidades requisitantes, consolidados e analisados pelo servidor ocupante do cargo de contador, a quem compete a coordenação da elaboração do Plano. Realizados os ajustes e as correções necessários, apresenta-se a seguir a relação das demandas planejadas para o exercício de {{EXERCICIO_PCA}}, acompanhada, no Anexo I, do detalhamento analítico de cada uma.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O PCA é um plano, não um programa. Os objetos aqui relacionados decorrem de expectativa de contratação, e é possível que alguns não venham a ser executados: o juízo de mérito administrativo, em cada caso, sopesará a conveniência e a oportunidade da contratação quando ela se mostrar necessária.</w:t>
      </w:r>
    </w:p>
    <w:p>
      <w:pPr>
        <w:pStyle w:val="CMITitulo2"/>
        <w:keepNext/>
        <w:keepLines/>
        <w:spacing w:line="240" w:lineRule="auto" w:after="120" w:before="20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1.1. Abrangência e exclusões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Na forma do § 1º do art. 2º da Portaria nº 04/2024, este Plano contempla as compras, os serviços e as obras a serem realizados no exercício de {{EXERCICIO_PCA}}, inclusive mediante contratações diretas, e incluídas as renovações contratuais. Ficam dispensadas de indicação no Plano, na forma do § 3º do mesmo artigo, as hipóteses previstas nos incisos VI, VII e VIII do caput do art. 75 da Lei nº 14.133/2021 e as pequenas compras e a prestação de serviços de pronto pagamento de que trata o § 2º do art. 95 da mesma Lei, até o limite de 10% (dez por cento) do valor previsto.</w:t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2. METODOLOGIA DAS ESTIMATIVAS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As estimativas foram formadas a partir das seguintes fontes, nesta ordem: (a) despesa efetivamente realizada no exercício de {{EXERCICIO_M2}}; (b) despesa empenhada no exercício de {{EXERCICIO_BASE}} até {{DATA_CORTE}}, extraída do sistema contábil; (c) DFD apresentados pelas unidades requisitantes; e (d) contratos vigentes com previsão de renovação para {{EXERCICIO_PCA}}.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Quando o empenho do exercício-base é parcial, a base de cálculo é anualizada pela proporcionalidade do período — valor empenhado ÷ meses transcorridos × 12 —, e a memória de cálculo de cada demanda consta do Anexo I. Nos casos de empenho global anual, a base é o próprio valor empenhado, sem anualização.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Sobre a base apurada aplicou-se o índice {{INDICE_NOME}}, referente a {{INDICE_REFERENCIA}}, apurado em {{INDICE_PERCENTUAL}}, conforme {{INDICE_FONTE}}. Despesas de caráter excepcional ou vinculadas a evento isolado do exercício-base foram apartadas da base de cálculo, e as exclusões estão registradas no item 6.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Nos casos em que a estimativa supera a mera correção pelo índice — por expansão de serviço, alteração de escopo, nova demanda ou contratação acessória a outra prevista neste Plano —, as razões de fato estão registradas no Anexo I e, quando relevantes, no item 6.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 estimativa sumária aqui adotada não se confunde com a pesquisa de preços prevista no art. 23 da Lei nº 14.133/2021 e na Portaria nº 03/2024, podendo adotar os seus parâmetros, quando for o caso, sem os mesmos rigores metodológicos, na forma do § 1º do art. 3º da Portaria nº 04/2024. A pesquisa de preços permanece exigível na fase preparatória de cada contratação.</w:t>
      </w:r>
    </w:p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C00000"/>
          <w:sz w:val="20"/>
        </w:rPr>
        <w:t>A base de cálculo é a despesa REALIZADA e EMPENHADA. Não use como base a estimativa do PCA do exercício anterior: aplicar índice sobre estimativa afasta o Plano da execução real e compromete o controle de fracionamento. Confira também se o percentual efetivamente aplicado nas linhas do Anexo I é o índice declarado neste item, e se o rótulo de ano de cada coluna corresponde ao exercício correto.</w:t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3. CLASSIFICAÇÃO (CATEGORIA ECONÔMICA)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300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Despesa de Custeio</w:t>
            </w:r>
          </w:p>
        </w:tc>
        <w:tc>
          <w:tcPr>
            <w:tcW w:type="dxa" w:w="300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Investimento</w:t>
            </w:r>
          </w:p>
        </w:tc>
        <w:tc>
          <w:tcPr>
            <w:tcW w:type="dxa" w:w="3061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TOTAL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R$ {{VALOR_CUSTEIO}}</w:t>
            </w:r>
          </w:p>
        </w:tc>
        <w:tc>
          <w:tcPr>
            <w:tcW w:type="dxa" w:w="300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R$ {{VALOR_INVESTIMENTO}}</w:t>
            </w:r>
          </w:p>
        </w:tc>
        <w:tc>
          <w:tcPr>
            <w:tcW w:type="dxa" w:w="3061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R$ {{VALOR_TOTAL_PCA}}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{{PERCENTUAL_CUSTEIO}}</w:t>
            </w:r>
          </w:p>
        </w:tc>
        <w:tc>
          <w:tcPr>
            <w:tcW w:type="dxa" w:w="300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{{PERCENTUAL_INVESTIMENTO}}</w:t>
            </w:r>
          </w:p>
        </w:tc>
        <w:tc>
          <w:tcPr>
            <w:tcW w:type="dxa" w:w="3061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100,0%</w:t>
            </w:r>
          </w:p>
        </w:tc>
      </w:tr>
    </w:tbl>
    <w:p/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595959"/>
          <w:sz w:val="20"/>
        </w:rPr>
        <w:t>A classificação orçamentária (custeio × investimento) pode ser reavaliada quando da execução das demandas, considerada a melhor solução a ser encontrada no Estudo Técnico Preliminar. A execução dessas demandas está condicionada à disponibilidade orçamentária na dotação adequada.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Para referência, a despesa orçada da Câmara Municipal no exercício de {{EXERCICIO_BASE}} totalizou R$ {{TOTAL_DESPESA_ORCADA}}, conforme o Quadro de Detalhamento da Despesa emitido pela contabilidade.</w:t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4. UNIDADES REQUISITANTES E COMPETÊNCIAS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As unidades administrativas que necessitam do bem ou do serviço são as unidades requisitantes, responsáveis pelo conteúdo técnico da demanda que apresentam — notadamente pela descrição do objeto, pelo quantitativo estimado, pela justificativa e pelo grau de prioridade.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Na forma do art. 4º da Portaria nº 04/2024, compete ao servidor ocupante do cargo de contador coordenar a elaboração do Plano, analisar os DFD encaminhados e promover as diligências necessárias para a agregação de demandas de mesma natureza, a adequação e consolidação do Plano e a elaboração do calendário de licitação. A agregação de demandas semelhantes em um único procedimento busca padronizar especificações, ampliar a competitividade e prevenir o fracionamento da despesa.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Consolidados os DFD em documento único, o Plano é encaminhado à Presidência para aprovação ou redimensionamento.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453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Unidade requisitante</w:t>
            </w:r>
          </w:p>
        </w:tc>
        <w:tc>
          <w:tcPr>
            <w:tcW w:type="dxa" w:w="226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Demandas apresentadas</w:t>
            </w:r>
          </w:p>
        </w:tc>
        <w:tc>
          <w:tcPr>
            <w:tcW w:type="dxa" w:w="226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estimado (R$)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unidade]</w:t>
            </w:r>
          </w:p>
        </w:tc>
        <w:tc>
          <w:tcPr>
            <w:tcW w:type="dxa" w:w="226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quantidade]</w:t>
            </w:r>
          </w:p>
        </w:tc>
        <w:tc>
          <w:tcPr>
            <w:tcW w:type="dxa" w:w="226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valor]</w:t>
            </w:r>
          </w:p>
        </w:tc>
      </w:tr>
    </w:tbl>
    <w:p/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5. CONTRATAÇÕES PLANEJADAS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Relação das demandas que compõem este Plano. O detalhamento de cada uma — tipo, subelemento de despesa, quantitativo, previsão de renovação, base de cálculo e prioridade — consta do Anexo 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68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Nº</w:t>
            </w:r>
          </w:p>
        </w:tc>
        <w:tc>
          <w:tcPr>
            <w:tcW w:type="dxa" w:w="4422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DEMANDA</w:t>
            </w:r>
          </w:p>
        </w:tc>
        <w:tc>
          <w:tcPr>
            <w:tcW w:type="dxa" w:w="147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ESTIMADO</w:t>
            </w:r>
          </w:p>
        </w:tc>
        <w:tc>
          <w:tcPr>
            <w:tcW w:type="dxa" w:w="1361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DATA PREVISTA</w:t>
            </w:r>
          </w:p>
        </w:tc>
        <w:tc>
          <w:tcPr>
            <w:tcW w:type="dxa" w:w="113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CLASSE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nº]</w:t>
            </w:r>
          </w:p>
        </w:tc>
        <w:tc>
          <w:tcPr>
            <w:tcW w:type="dxa" w:w="4422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descrição sucinta do objeto]</w:t>
            </w:r>
          </w:p>
        </w:tc>
        <w:tc>
          <w:tcPr>
            <w:tcW w:type="dxa" w:w="147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R$]</w:t>
            </w:r>
          </w:p>
        </w:tc>
        <w:tc>
          <w:tcPr>
            <w:tcW w:type="dxa" w:w="1361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dd/mm/aaaa]</w:t>
            </w:r>
          </w:p>
        </w:tc>
        <w:tc>
          <w:tcPr>
            <w:tcW w:type="dxa" w:w="113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Custeio/Investimento]</w:t>
            </w:r>
          </w:p>
        </w:tc>
      </w:tr>
    </w:tbl>
    <w:p/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/>
          <w:i w:val="0"/>
          <w:color w:val="000000"/>
          <w:sz w:val="24"/>
        </w:rPr>
        <w:t>Valor total estimado do Plano: R$ {{VALOR_TOTAL_PCA}} ({{QUANTIDADE_DEMANDAS}} demandas).</w:t>
      </w:r>
    </w:p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C00000"/>
          <w:sz w:val="20"/>
        </w:rPr>
        <w:t>Uma linha por demanda, em ordem crescente de número. O número da demanda é o mesmo do Anexo I e do registro no sistema de compras — não renumere ao reordenar. A “DATA PREVISTA” é o mês/data provável da contratação exigido pelo inciso III do § 2º do art. 2º da Portaria nº 04/2024. Demandas podem ser agrupadas por elemento de despesa mediante linha de subtotal, desde que a numeração permaneça contínua.</w:t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6. NOTAS EXPLICATIVAS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Registram-se abaixo as demandas cuja estimativa se afasta da metodologia geral descrita no item 2, as despesas apartadas da base de cálculo por atipicidade e as demandas apresentadas pelas unidades requisitantes e não acolhidas neste Plano.</w:t>
      </w:r>
    </w:p>
    <w:p>
      <w:pPr>
        <w:pStyle w:val="CMITitulo2"/>
        <w:keepNext/>
        <w:keepLines/>
        <w:spacing w:line="240" w:lineRule="auto" w:after="120" w:before="20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6.1. Estimativas que se afastam da metodologia geral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124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Nº da demanda</w:t>
            </w:r>
          </w:p>
        </w:tc>
        <w:tc>
          <w:tcPr>
            <w:tcW w:type="dxa" w:w="300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Objeto</w:t>
            </w:r>
          </w:p>
        </w:tc>
        <w:tc>
          <w:tcPr>
            <w:tcW w:type="dxa" w:w="164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estimado (R$)</w:t>
            </w:r>
          </w:p>
        </w:tc>
        <w:tc>
          <w:tcPr>
            <w:tcW w:type="dxa" w:w="317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Razão do afastamento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nº]</w:t>
            </w:r>
          </w:p>
        </w:tc>
        <w:tc>
          <w:tcPr>
            <w:tcW w:type="dxa" w:w="300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objeto]</w:t>
            </w:r>
          </w:p>
        </w:tc>
        <w:tc>
          <w:tcPr>
            <w:tcW w:type="dxa" w:w="164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valor]</w:t>
            </w:r>
          </w:p>
        </w:tc>
        <w:tc>
          <w:tcPr>
            <w:tcW w:type="dxa" w:w="317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razão]</w:t>
            </w:r>
          </w:p>
        </w:tc>
      </w:tr>
    </w:tbl>
    <w:p/>
    <w:p>
      <w:pPr>
        <w:pStyle w:val="CMITitulo2"/>
        <w:keepNext/>
        <w:keepLines/>
        <w:spacing w:line="240" w:lineRule="auto" w:after="120" w:before="20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6.2. Despesas apartadas da base de cálculo (atipicidade)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147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Subelemento</w:t>
            </w:r>
          </w:p>
        </w:tc>
        <w:tc>
          <w:tcPr>
            <w:tcW w:type="dxa" w:w="283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Objeto</w:t>
            </w:r>
          </w:p>
        </w:tc>
        <w:tc>
          <w:tcPr>
            <w:tcW w:type="dxa" w:w="158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apartado (R$)</w:t>
            </w:r>
          </w:p>
        </w:tc>
        <w:tc>
          <w:tcPr>
            <w:tcW w:type="dxa" w:w="317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Motivo da exclusão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subelemento]</w:t>
            </w:r>
          </w:p>
        </w:tc>
        <w:tc>
          <w:tcPr>
            <w:tcW w:type="dxa" w:w="28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objeto]</w:t>
            </w:r>
          </w:p>
        </w:tc>
        <w:tc>
          <w:tcPr>
            <w:tcW w:type="dxa" w:w="158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valor]</w:t>
            </w:r>
          </w:p>
        </w:tc>
        <w:tc>
          <w:tcPr>
            <w:tcW w:type="dxa" w:w="317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motivo]</w:t>
            </w:r>
          </w:p>
        </w:tc>
      </w:tr>
    </w:tbl>
    <w:p/>
    <w:p>
      <w:pPr>
        <w:pStyle w:val="CMITitulo2"/>
        <w:keepNext/>
        <w:keepLines/>
        <w:spacing w:line="240" w:lineRule="auto" w:after="120" w:before="20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6.3. Demandas apresentadas e não acolhidas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192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Unidade requisitante</w:t>
            </w:r>
          </w:p>
        </w:tc>
        <w:tc>
          <w:tcPr>
            <w:tcW w:type="dxa" w:w="294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Objeto pretendido</w:t>
            </w:r>
          </w:p>
        </w:tc>
        <w:tc>
          <w:tcPr>
            <w:tcW w:type="dxa" w:w="158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estimado (R$)</w:t>
            </w:r>
          </w:p>
        </w:tc>
        <w:tc>
          <w:tcPr>
            <w:tcW w:type="dxa" w:w="260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Razão do não acolhimento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unidade]</w:t>
            </w:r>
          </w:p>
        </w:tc>
        <w:tc>
          <w:tcPr>
            <w:tcW w:type="dxa" w:w="294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objeto]</w:t>
            </w:r>
          </w:p>
        </w:tc>
        <w:tc>
          <w:tcPr>
            <w:tcW w:type="dxa" w:w="158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valor]</w:t>
            </w:r>
          </w:p>
        </w:tc>
        <w:tc>
          <w:tcPr>
            <w:tcW w:type="dxa" w:w="260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razão]</w:t>
            </w:r>
          </w:p>
        </w:tc>
      </w:tr>
    </w:tbl>
    <w:p/>
    <w:p>
      <w:pPr>
        <w:pStyle w:val="CMITitulo2"/>
        <w:keepNext/>
        <w:keepLines/>
        <w:spacing w:line="240" w:lineRule="auto" w:after="120" w:before="20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6.4. Contratações planejadas em {{EXERCICIO_BASE}} e não realizadas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Em cumprimento ao art. 7º da Portaria nº 04/2024, relacionam-se as contratações previstas no PCA {{EXERCICIO_BASE}} e não realizadas, com a justificativa dos motivos de sua não consecução e a indicação de sua permanência ou não neste Plano.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6"/>
        <w:gridCol w:w="2126"/>
        <w:gridCol w:w="2126"/>
        <w:gridCol w:w="2126"/>
      </w:tblGrid>
      <w:tr>
        <w:trPr>
          <w:tblHeader/>
          <w:cantSplit/>
        </w:trPr>
        <w:tc>
          <w:tcPr>
            <w:tcW w:type="dxa" w:w="283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Objeto previsto em {{EXERCICIO_BASE}}</w:t>
            </w:r>
          </w:p>
        </w:tc>
        <w:tc>
          <w:tcPr>
            <w:tcW w:type="dxa" w:w="147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Valor previsto (R$)</w:t>
            </w:r>
          </w:p>
        </w:tc>
        <w:tc>
          <w:tcPr>
            <w:tcW w:type="dxa" w:w="283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Motivo da não realização</w:t>
            </w:r>
          </w:p>
        </w:tc>
        <w:tc>
          <w:tcPr>
            <w:tcW w:type="dxa" w:w="192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Permanece em {{EXERCICIO_PCA}}?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objeto]</w:t>
            </w:r>
          </w:p>
        </w:tc>
        <w:tc>
          <w:tcPr>
            <w:tcW w:type="dxa" w:w="147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valor]</w:t>
            </w:r>
          </w:p>
        </w:tc>
        <w:tc>
          <w:tcPr>
            <w:tcW w:type="dxa" w:w="28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motivo]</w:t>
            </w:r>
          </w:p>
        </w:tc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22"/>
              </w:rPr>
              <w:t>[PREENCHER: sim, como demanda nº ___ / não]</w:t>
            </w:r>
          </w:p>
        </w:tc>
      </w:tr>
    </w:tbl>
    <w:p/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C00000"/>
          <w:sz w:val="20"/>
        </w:rPr>
        <w:t>Os quatro quadros deste item são obrigatórios e não podem ser suprimidos. Não havendo ocorrência, registre expressamente “não houve” — a supressão do item 6.4 é a omissão mais frequente no encerramento do ciclo do PCA.</w:t>
      </w:r>
    </w:p>
    <w:p>
      <w:pPr>
        <w:pStyle w:val="CMITitulo1"/>
        <w:keepNext/>
        <w:keepLines/>
        <w:spacing w:line="240" w:lineRule="auto" w:after="120" w:before="240"/>
        <w:jc w:val="left"/>
      </w:pPr>
      <w:r>
        <w:rPr>
          <w:rFonts w:ascii="Calibri" w:hAnsi="Calibri" w:cs="Calibri"/>
          <w:b/>
          <w:i w:val="0"/>
          <w:color w:val="000000"/>
          <w:sz w:val="24"/>
        </w:rPr>
        <w:t>7. EXECUÇÃO, MONITORAMENTO E DIVULGAÇÃO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 execução deste Plano levará em consideração, em primeiro lugar, a disponibilidade financeira ao longo do exercício de {{EXERCICIO_PCA}}. Serão priorizados os serviços essenciais ao funcionamento da Câmara Municipal, sobretudo aqueles cuja prestação deve iniciar-se já em janeiro, observado o grau de prioridade atribuído a cada demanda na forma do § 2º do art. 3º da Portaria nº 04/2024.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O monitoramento será realizado em dois momentos: em caráter prévio, no momento da aprovação da Solicitação de Despesa, pela Diretoria Geral; e pela Controladoria Interna, a cada 3 (três) meses, que verificará seu efetivo cumprimento e identificará eventuais contingências e necessidades de emenda ao Plano. Durante o ano de sua execução, o PCA poderá ser alterado mediante justificativa a ser aprovada pela Presidência, na forma do art. 6º da Portaria nº 04/2024.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 alta gestão da Câmara Municipal de Itanhandu orientará a equipe de Licitações a indicar, detalhadamente, as circunstâncias de fato ou de direito que acarretem eventual contratação em dissonância com o previsto neste Plano.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Na forma do art. 5º da Portaria nº 04/2024, este Plano será divulgado no sítio eletrônico oficial da Câmara Municipal de Itanhandu e no Portal Nacional de Contratações Públicas — PNCP, observadas as regras de transição do art. 176 da Lei nº 14.133/2021, e será remetido ao Poder Executivo de Itanhandu para publicação consolidada do ente federativo.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260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Divulgação</w:t>
            </w:r>
          </w:p>
        </w:tc>
        <w:tc>
          <w:tcPr>
            <w:tcW w:type="dxa" w:w="192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Data</w:t>
            </w:r>
          </w:p>
        </w:tc>
        <w:tc>
          <w:tcPr>
            <w:tcW w:type="dxa" w:w="4535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22"/>
              </w:rPr>
              <w:t>Endereço / identificação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Sítio eletrônico oficial</w:t>
            </w:r>
          </w:p>
        </w:tc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{{DATA_PUBLICACAO_SITIO}}</w:t>
            </w:r>
          </w:p>
        </w:tc>
        <w:tc>
          <w:tcPr>
            <w:tcW w:type="dxa" w:w="45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{{ENDERECO_SITIO}}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PNCP</w:t>
            </w:r>
          </w:p>
        </w:tc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{{DATA_PUBLICACAO_PNCP}}</w:t>
            </w:r>
          </w:p>
        </w:tc>
        <w:tc>
          <w:tcPr>
            <w:tcW w:type="dxa" w:w="45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{{IDENTIFICACAO_PNCP}}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Remessa ao Poder Executivo</w:t>
            </w:r>
          </w:p>
        </w:tc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{{DATA_REMESSA_EXECUTIVO}}</w:t>
            </w:r>
          </w:p>
        </w:tc>
        <w:tc>
          <w:tcPr>
            <w:tcW w:type="dxa" w:w="4535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</w:r>
            <w:r>
              <w:rPr>
                <w:rFonts w:ascii="Calibri" w:hAnsi="Calibri" w:cs="Calibri"/>
                <w:b w:val="0"/>
                <w:i w:val="0"/>
                <w:color w:val="000000"/>
                <w:sz w:val="22"/>
              </w:rPr>
              <w:t>{{PROTOCOLO_REMESSA}}</w:t>
            </w:r>
          </w:p>
        </w:tc>
      </w:tr>
    </w:tbl>
    <w:p/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C00000"/>
          <w:sz w:val="20"/>
        </w:rPr>
        <w:t>Preencha este quadro somente após a divulgação efetiva. Não registre data prevista como se fosse realizada.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4"/>
        </w:rPr>
        <w:t>A previsão de uma contratação neste Plano não dispensa a instrução do respectivo processo administrativo nem substitui os documentos exigidos na fase preparatória, notadamente o estudo técnico preliminar, o termo de referência e a pesquisa de preços.</w:t>
      </w:r>
    </w:p>
    <w:p/>
    <w:p>
      <w:pPr>
        <w:pStyle w:val="CMICorpo"/>
        <w:spacing w:line="360" w:lineRule="auto" w:after="120" w:before="0"/>
        <w:jc w:val="left"/>
      </w:pPr>
      <w:r>
        <w:rPr>
          <w:rFonts w:ascii="Calibri" w:hAnsi="Calibri" w:cs="Calibri"/>
          <w:b w:val="0"/>
          <w:i w:val="0"/>
          <w:color w:val="000000"/>
          <w:sz w:val="24"/>
        </w:rPr>
        <w:t>Itanhandu/MG, {{DATA_ASSINATURA}}.</w:t>
      </w:r>
    </w:p>
    <w:p>
      <w:pPr>
        <w:pStyle w:val="CMIAssinatura"/>
        <w:keepNext/>
        <w:keepLines/>
        <w:spacing w:line="240" w:lineRule="auto" w:after="0" w:before="36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{{PRESIDENTE}}</w:t>
      </w:r>
    </w:p>
    <w:p>
      <w:pPr>
        <w:pStyle w:val="CMIAssinatura"/>
        <w:keepLines/>
        <w:spacing w:line="240" w:lineRule="auto" w:after="0" w:before="0"/>
        <w:jc w:val="center"/>
      </w:pPr>
      <w:r>
        <w:rPr>
          <w:rFonts w:ascii="Calibri" w:hAnsi="Calibri" w:cs="Calibri"/>
          <w:b w:val="0"/>
          <w:i w:val="0"/>
          <w:color w:val="000000"/>
          <w:sz w:val="24"/>
        </w:rPr>
        <w:t>Presidente da Câmara Municipal de Itanhandu</w:t>
      </w:r>
    </w:p>
    <w:p>
      <w:pPr>
        <w:pStyle w:val="CMIAssinatura"/>
        <w:keepNext/>
        <w:keepLines/>
        <w:spacing w:line="240" w:lineRule="auto" w:after="0" w:before="36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{{CONTADOR}}</w:t>
      </w:r>
    </w:p>
    <w:p>
      <w:pPr>
        <w:pStyle w:val="CMIAssinatura"/>
        <w:keepLines/>
        <w:spacing w:line="240" w:lineRule="auto" w:after="0" w:before="0"/>
        <w:jc w:val="center"/>
      </w:pPr>
      <w:r>
        <w:rPr>
          <w:rFonts w:ascii="Calibri" w:hAnsi="Calibri" w:cs="Calibri"/>
          <w:b w:val="0"/>
          <w:i w:val="0"/>
          <w:color w:val="000000"/>
          <w:sz w:val="24"/>
        </w:rPr>
        <w:t>Contador — coordenador da elaboração do PCA</w:t>
      </w:r>
    </w:p>
    <w:p>
      <w:pPr>
        <w:pStyle w:val="CMIAssinatura"/>
        <w:keepNext/>
        <w:keepLines/>
        <w:spacing w:line="240" w:lineRule="auto" w:after="0" w:before="36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{{CONTROLADOR_INTERNO}}</w:t>
      </w:r>
    </w:p>
    <w:p>
      <w:pPr>
        <w:pStyle w:val="CMIAssinatura"/>
        <w:keepLines/>
        <w:spacing w:line="240" w:lineRule="auto" w:after="0" w:before="0"/>
        <w:jc w:val="center"/>
      </w:pPr>
      <w:r>
        <w:rPr>
          <w:rFonts w:ascii="Calibri" w:hAnsi="Calibri" w:cs="Calibri"/>
          <w:b w:val="0"/>
          <w:i w:val="0"/>
          <w:color w:val="000000"/>
          <w:sz w:val="24"/>
        </w:rPr>
        <w:t>Controladoria Interna</w:t>
      </w:r>
    </w:p>
    <w:p>
      <w:pPr>
        <w:pStyle w:val="CMIAssinatura"/>
        <w:keepNext/>
        <w:keepLines/>
        <w:spacing w:line="240" w:lineRule="auto" w:after="0" w:before="36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{{SECRETARIO}}</w:t>
      </w:r>
    </w:p>
    <w:p>
      <w:pPr>
        <w:pStyle w:val="CMIAssinatura"/>
        <w:keepLines/>
        <w:spacing w:line="240" w:lineRule="auto" w:after="0" w:before="0"/>
        <w:jc w:val="center"/>
      </w:pPr>
      <w:r>
        <w:rPr>
          <w:rFonts w:ascii="Calibri" w:hAnsi="Calibri" w:cs="Calibri"/>
          <w:b w:val="0"/>
          <w:i w:val="0"/>
          <w:color w:val="000000"/>
          <w:sz w:val="24"/>
        </w:rPr>
        <w:t>Secretário da Câmara Municipal de Itanhandu</w:t>
      </w:r>
    </w:p>
    <w:p>
      <w:pPr>
        <w:pStyle w:val="CMIAssinatura"/>
        <w:keepNext/>
        <w:keepLines/>
        <w:spacing w:line="240" w:lineRule="auto" w:after="0" w:before="360"/>
        <w:jc w:val="center"/>
      </w:pPr>
      <w:r>
        <w:rPr>
          <w:rFonts w:ascii="Calibri" w:hAnsi="Calibri" w:cs="Calibri"/>
          <w:b/>
          <w:i w:val="0"/>
          <w:color w:val="000000"/>
          <w:sz w:val="24"/>
        </w:rPr>
        <w:t>{{RESPONSAVEL_DFD}}</w:t>
      </w:r>
    </w:p>
    <w:p>
      <w:pPr>
        <w:pStyle w:val="CMIAssinatura"/>
        <w:keepLines/>
        <w:spacing w:line="240" w:lineRule="auto" w:after="0" w:before="0"/>
        <w:jc w:val="center"/>
      </w:pPr>
      <w:r>
        <w:rPr>
          <w:rFonts w:ascii="Calibri" w:hAnsi="Calibri" w:cs="Calibri"/>
          <w:b w:val="0"/>
          <w:i w:val="0"/>
          <w:color w:val="000000"/>
          <w:sz w:val="24"/>
        </w:rPr>
        <w:t>Responsável pela elaboração dos Documentos de Formalização de Demanda</w:t>
      </w:r>
    </w:p>
    <w:p>
      <w:pPr>
        <w:sectPr>
          <w:headerReference w:type="default" r:id="rId8"/>
          <w:footerReference w:type="default" r:id="rId9"/>
          <w:pgSz w:w="11906" w:h="16838"/>
          <w:pgMar w:top="2397" w:right="1701" w:bottom="1417" w:left="1701" w:header="708" w:footer="708" w:gutter="0"/>
          <w:cols w:space="708"/>
          <w:docGrid w:linePitch="360"/>
        </w:sectPr>
      </w:pPr>
    </w:p>
    <w:p>
      <w:pPr>
        <w:pStyle w:val="CMITitulodoDocumento"/>
        <w:keepNext/>
        <w:spacing w:line="240" w:lineRule="auto" w:after="240" w:before="0"/>
        <w:jc w:val="center"/>
      </w:pPr>
      <w:r>
        <w:rPr>
          <w:rFonts w:ascii="Calibri" w:hAnsi="Calibri" w:cs="Calibri"/>
          <w:b/>
          <w:i w:val="0"/>
          <w:color w:val="000000"/>
          <w:sz w:val="28"/>
        </w:rPr>
        <w:t>ANEXO I — RELAÇÃO ANALÍTICA DAS DEMANDAS</w:t>
      </w:r>
    </w:p>
    <w:p>
      <w:pPr>
        <w:pStyle w:val="CMICorpo"/>
        <w:spacing w:line="360" w:lineRule="auto" w:after="120" w:before="0"/>
        <w:jc w:val="both"/>
      </w:pPr>
      <w:r>
        <w:rPr>
          <w:rFonts w:ascii="Calibri" w:hAnsi="Calibri" w:cs="Calibri"/>
          <w:b w:val="0"/>
          <w:i w:val="0"/>
          <w:color w:val="000000"/>
          <w:sz w:val="22"/>
        </w:rPr>
        <w:t>Detalhamento das demandas na forma dos arts. 2º, § 2º, e 3º da Portaria nº 04/2024, para conferência com o registro do Plano no sistema de compras e no PNCP.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>
        <w:trPr>
          <w:tblHeader/>
          <w:cantSplit/>
        </w:trPr>
        <w:tc>
          <w:tcPr>
            <w:tcW w:type="dxa" w:w="45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Nº</w:t>
            </w:r>
          </w:p>
        </w:tc>
        <w:tc>
          <w:tcPr>
            <w:tcW w:type="dxa" w:w="51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DFD</w:t>
            </w:r>
          </w:p>
        </w:tc>
        <w:tc>
          <w:tcPr>
            <w:tcW w:type="dxa" w:w="90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Requisitante</w:t>
            </w:r>
          </w:p>
        </w:tc>
        <w:tc>
          <w:tcPr>
            <w:tcW w:type="dxa" w:w="1928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Objeto (descrição sucinta)</w:t>
            </w:r>
          </w:p>
        </w:tc>
        <w:tc>
          <w:tcPr>
            <w:tcW w:type="dxa" w:w="51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85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Subelemento</w:t>
            </w:r>
          </w:p>
        </w:tc>
        <w:tc>
          <w:tcPr>
            <w:tcW w:type="dxa" w:w="39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Qtd.</w:t>
            </w:r>
          </w:p>
        </w:tc>
        <w:tc>
          <w:tcPr>
            <w:tcW w:type="dxa" w:w="34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Un.</w:t>
            </w:r>
          </w:p>
        </w:tc>
        <w:tc>
          <w:tcPr>
            <w:tcW w:type="dxa" w:w="45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Renov.</w:t>
            </w:r>
          </w:p>
        </w:tc>
        <w:tc>
          <w:tcPr>
            <w:tcW w:type="dxa" w:w="79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Realizado {{EXERCICIO_M2}} (R$)</w:t>
            </w:r>
          </w:p>
        </w:tc>
        <w:tc>
          <w:tcPr>
            <w:tcW w:type="dxa" w:w="90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Empenhado {{EXERCICIO_BASE}} até {{DATA_CORTE}} (R$)</w:t>
            </w:r>
          </w:p>
        </w:tc>
        <w:tc>
          <w:tcPr>
            <w:tcW w:type="dxa" w:w="1134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Base de cálculo (R$) e memória</w:t>
            </w:r>
          </w:p>
        </w:tc>
        <w:tc>
          <w:tcPr>
            <w:tcW w:type="dxa" w:w="51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Índice</w:t>
            </w:r>
          </w:p>
        </w:tc>
        <w:tc>
          <w:tcPr>
            <w:tcW w:type="dxa" w:w="85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Estimado {{EXERCICIO_PCA}} (R$)</w:t>
            </w:r>
          </w:p>
        </w:tc>
        <w:tc>
          <w:tcPr>
            <w:tcW w:type="dxa" w:w="56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Classe</w:t>
            </w:r>
          </w:p>
        </w:tc>
        <w:tc>
          <w:tcPr>
            <w:tcW w:type="dxa" w:w="68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Data provável</w:t>
            </w:r>
          </w:p>
        </w:tc>
        <w:tc>
          <w:tcPr>
            <w:tcW w:type="dxa" w:w="510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Vínculo</w:t>
            </w:r>
          </w:p>
        </w:tc>
        <w:tc>
          <w:tcPr>
            <w:tcW w:type="dxa" w:w="397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Prior.</w:t>
            </w:r>
          </w:p>
        </w:tc>
        <w:tc>
          <w:tcPr>
            <w:tcW w:type="dxa" w:w="1361"/>
            <w:shd w:val="clear" w:color="auto" w:fill="D9D9D9"/>
          </w:tcPr>
          <w:p>
            <w:pPr>
              <w:pStyle w:val="CMICabecalhodeTabela"/>
              <w:spacing w:line="240" w:lineRule="auto" w:after="0" w:before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</w:r>
            <w:r>
              <w:rPr>
                <w:rFonts w:ascii="Calibri" w:hAnsi="Calibri" w:cs="Calibri"/>
                <w:b/>
                <w:i w:val="0"/>
                <w:color w:val="000000"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51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90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1928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51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85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39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34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45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79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90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1134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51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85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56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68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510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397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  <w:tc>
          <w:tcPr>
            <w:tcW w:type="dxa" w:w="1361"/>
          </w:tcPr>
          <w:p>
            <w:pPr>
              <w:pStyle w:val="CMITabela"/>
              <w:spacing w:line="240" w:lineRule="auto" w:after="0" w:before="0"/>
              <w:jc w:val="left"/>
            </w:pP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</w:r>
            <w:r>
              <w:rPr>
                <w:rFonts w:ascii="Calibri" w:hAnsi="Calibri" w:cs="Calibri"/>
                <w:b w:val="0"/>
                <w:i w:val="0"/>
                <w:color w:val="C00000"/>
                <w:sz w:val="18"/>
              </w:rPr>
              <w:t>[PREENCHER]</w:t>
            </w:r>
          </w:p>
        </w:tc>
      </w:tr>
    </w:tbl>
    <w:p/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595959"/>
          <w:sz w:val="20"/>
        </w:rPr>
        <w:t>Tipo: material, serviço ou obra. Renov.: indica se a contratação se dará por renovação contratual (art. 2º, § 2º, V). Vínculo: existência de vinculação ou dependência em relação a outra demanda (art. 3º, VIII). Prior.: grau de prioridade alta, média ou baixa, na forma do § 2º do art. 3º.</w:t>
      </w:r>
    </w:p>
    <w:p>
      <w:pPr>
        <w:pStyle w:val="CMINota"/>
        <w:spacing w:line="240" w:lineRule="auto" w:after="120" w:before="0"/>
        <w:jc w:val="both"/>
      </w:pPr>
      <w:r>
        <w:rPr>
          <w:rFonts w:ascii="Calibri" w:hAnsi="Calibri" w:cs="Calibri"/>
          <w:b w:val="0"/>
          <w:i/>
          <w:color w:val="595959"/>
          <w:sz w:val="20"/>
        </w:rPr>
        <w:t>O registro de referência do Plano é o gerado pelo sistema de compras e publicado no PNCP. Este documento é o memorial que o acompanha: havendo divergência entre os dois, ela deve ser sanada antes da divulgação, e não apenas registrada.</w:t>
      </w:r>
    </w:p>
    <w:sectPr w:rsidR="00BA0F6A">
      <w:pgSz w:w="16838" w:h="11906" w:orient="landscape"/>
      <w:pgMar w:top="239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CBF57" w14:textId="77777777" w:rsidR="002D68F6" w:rsidRDefault="002D68F6" w:rsidP="00E96C10">
      <w:pPr>
        <w:spacing w:after="0" w:line="240" w:lineRule="auto"/>
      </w:pPr>
      <w:r>
        <w:separator/>
      </w:r>
    </w:p>
  </w:endnote>
  <w:endnote w:type="continuationSeparator" w:id="0">
    <w:p w14:paraId="585EE416" w14:textId="77777777" w:rsidR="002D68F6" w:rsidRDefault="002D68F6" w:rsidP="00E96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F6285" w14:textId="77777777" w:rsidR="002D68F6" w:rsidRDefault="002D68F6" w:rsidP="00E96C10">
      <w:pPr>
        <w:spacing w:after="0" w:line="240" w:lineRule="auto"/>
      </w:pPr>
      <w:r>
        <w:separator/>
      </w:r>
    </w:p>
  </w:footnote>
  <w:footnote w:type="continuationSeparator" w:id="0">
    <w:p w14:paraId="69FF0055" w14:textId="77777777" w:rsidR="002D68F6" w:rsidRDefault="002D68F6" w:rsidP="00E96C10">
      <w:pPr>
        <w:spacing w:after="0" w:line="240" w:lineRule="auto"/>
      </w:pPr>
      <w:r>
        <w:continuationSeparator/>
      </w:r>
    </w:p>
  </w:footnote>
  <w:footnote w:id="1">
    <w:p w14:paraId="2499E527" w14:textId="77777777" w:rsidR="009C42EF" w:rsidRPr="00342939" w:rsidRDefault="009C42EF" w:rsidP="009C42EF">
      <w:pPr>
        <w:pStyle w:val="Textodenotaderodap"/>
        <w:rPr>
          <w:rFonts w:asciiTheme="minorHAnsi" w:hAnsiTheme="minorHAnsi" w:cstheme="minorHAnsi"/>
        </w:rPr>
      </w:pPr>
      <w:r>
        <w:rPr>
          <w:rStyle w:val="Refdenotaderodap"/>
        </w:rPr>
        <w:footnoteRef/>
      </w:r>
      <w:r>
        <w:t xml:space="preserve"> </w:t>
      </w:r>
      <w:r w:rsidRPr="00342939">
        <w:rPr>
          <w:rFonts w:asciiTheme="minorHAnsi" w:hAnsiTheme="minorHAnsi" w:cstheme="minorHAnsi"/>
        </w:rPr>
        <w:t>A presente exigência ter por finalidade tornar a conferência das fichas técnicas mais célere e para evitar que a equipe técnica responsável pela análise tenha o exato documento para realizar a avaliação do produto ofertado.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559"/>
    <w:multiLevelType w:val="multilevel"/>
    <w:tmpl w:val="768A2638"/>
    <w:styleLink w:val="Opo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1D0F78"/>
    <w:multiLevelType w:val="multilevel"/>
    <w:tmpl w:val="768A26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D5C100D"/>
    <w:multiLevelType w:val="multilevel"/>
    <w:tmpl w:val="05525A9E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781" w:hanging="504"/>
      </w:pPr>
      <w:rPr>
        <w:rFonts w:ascii="Arial" w:hAnsi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6244F7"/>
    <w:multiLevelType w:val="hybridMultilevel"/>
    <w:tmpl w:val="7518820C"/>
    <w:lvl w:ilvl="0" w:tplc="9CA87A88">
      <w:start w:val="1"/>
      <w:numFmt w:val="lowerLetter"/>
      <w:lvlText w:val="%1)"/>
      <w:lvlJc w:val="left"/>
      <w:pPr>
        <w:ind w:left="1152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B714A09"/>
    <w:multiLevelType w:val="multilevel"/>
    <w:tmpl w:val="7FE8900A"/>
    <w:numStyleLink w:val="Estilo2"/>
  </w:abstractNum>
  <w:abstractNum w:abstractNumId="5" w15:restartNumberingAfterBreak="0">
    <w:nsid w:val="2D320ED4"/>
    <w:multiLevelType w:val="multilevel"/>
    <w:tmpl w:val="7FE890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39473F3"/>
    <w:multiLevelType w:val="hybridMultilevel"/>
    <w:tmpl w:val="57CA37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365AB"/>
    <w:multiLevelType w:val="hybridMultilevel"/>
    <w:tmpl w:val="FD94BB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C434D"/>
    <w:multiLevelType w:val="multilevel"/>
    <w:tmpl w:val="7FE8900A"/>
    <w:styleLink w:val="Estilo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B053D96"/>
    <w:multiLevelType w:val="multilevel"/>
    <w:tmpl w:val="64A0DA34"/>
    <w:lvl w:ilvl="0">
      <w:start w:val="7"/>
      <w:numFmt w:val="decimal"/>
      <w:lvlText w:val="%1.7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7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8A45049"/>
    <w:multiLevelType w:val="multilevel"/>
    <w:tmpl w:val="0FA6A364"/>
    <w:lvl w:ilvl="0">
      <w:start w:val="7"/>
      <w:numFmt w:val="decimal"/>
      <w:lvlText w:val="%1.7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7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E4C50AC"/>
    <w:multiLevelType w:val="multilevel"/>
    <w:tmpl w:val="7FE890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1E845A3"/>
    <w:multiLevelType w:val="multilevel"/>
    <w:tmpl w:val="768A2638"/>
    <w:numStyleLink w:val="Opo2"/>
  </w:abstractNum>
  <w:abstractNum w:abstractNumId="13" w15:restartNumberingAfterBreak="0">
    <w:nsid w:val="74FD6C46"/>
    <w:multiLevelType w:val="multilevel"/>
    <w:tmpl w:val="7FE8900A"/>
    <w:numStyleLink w:val="Estilo2"/>
  </w:abstractNum>
  <w:num w:numId="1">
    <w:abstractNumId w:val="1"/>
  </w:num>
  <w:num w:numId="2">
    <w:abstractNumId w:val="7"/>
  </w:num>
  <w:num w:numId="3">
    <w:abstractNumId w:val="0"/>
  </w:num>
  <w:num w:numId="4">
    <w:abstractNumId w:val="12"/>
  </w:num>
  <w:num w:numId="5">
    <w:abstractNumId w:val="6"/>
  </w:num>
  <w:num w:numId="6">
    <w:abstractNumId w:val="4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3"/>
    <w:lvlOverride w:ilvl="0"/>
  </w:num>
  <w:num w:numId="12">
    <w:abstractNumId w:val="9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10"/>
    <w:rsid w:val="0001081A"/>
    <w:rsid w:val="001C63EA"/>
    <w:rsid w:val="001F4234"/>
    <w:rsid w:val="00264AC6"/>
    <w:rsid w:val="002834E8"/>
    <w:rsid w:val="002D68F6"/>
    <w:rsid w:val="00333DAC"/>
    <w:rsid w:val="00363D56"/>
    <w:rsid w:val="00367EF9"/>
    <w:rsid w:val="0038346F"/>
    <w:rsid w:val="00387F0E"/>
    <w:rsid w:val="003A6AD4"/>
    <w:rsid w:val="003D3BB3"/>
    <w:rsid w:val="0043737A"/>
    <w:rsid w:val="00486C94"/>
    <w:rsid w:val="004B4460"/>
    <w:rsid w:val="004E7A4D"/>
    <w:rsid w:val="005126B4"/>
    <w:rsid w:val="0053391D"/>
    <w:rsid w:val="005809F9"/>
    <w:rsid w:val="005D451E"/>
    <w:rsid w:val="005F40D1"/>
    <w:rsid w:val="00762FD2"/>
    <w:rsid w:val="0084187E"/>
    <w:rsid w:val="008A4E31"/>
    <w:rsid w:val="008D0758"/>
    <w:rsid w:val="00963919"/>
    <w:rsid w:val="009B1602"/>
    <w:rsid w:val="009C42EF"/>
    <w:rsid w:val="009E22A5"/>
    <w:rsid w:val="00A005A8"/>
    <w:rsid w:val="00A91EC4"/>
    <w:rsid w:val="00AD32BE"/>
    <w:rsid w:val="00BA0F6A"/>
    <w:rsid w:val="00CA5695"/>
    <w:rsid w:val="00CC6B2B"/>
    <w:rsid w:val="00CD6F97"/>
    <w:rsid w:val="00CF439A"/>
    <w:rsid w:val="00D15C48"/>
    <w:rsid w:val="00D820F7"/>
    <w:rsid w:val="00E526BD"/>
    <w:rsid w:val="00E9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3E848"/>
  <w15:chartTrackingRefBased/>
  <w15:docId w15:val="{8B9F7DAC-0E83-48E6-8BA2-32C6CF1D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2EF"/>
    <w:pPr>
      <w:spacing w:before="240" w:after="240" w:line="360" w:lineRule="auto"/>
      <w:jc w:val="both"/>
    </w:pPr>
    <w:rPr>
      <w:rFonts w:ascii="Calibri" w:hAnsi="Calibri" w:cs="Calibri"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C42EF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E96C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6C10"/>
  </w:style>
  <w:style w:type="paragraph" w:styleId="Rodap">
    <w:name w:val="footer"/>
    <w:basedOn w:val="Normal"/>
    <w:link w:val="RodapChar"/>
    <w:unhideWhenUsed/>
    <w:rsid w:val="00E96C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E96C10"/>
  </w:style>
  <w:style w:type="paragraph" w:styleId="PargrafodaLista">
    <w:name w:val="List Paragraph"/>
    <w:basedOn w:val="Normal"/>
    <w:uiPriority w:val="34"/>
    <w:qFormat/>
    <w:rsid w:val="009C42EF"/>
    <w:pPr>
      <w:ind w:left="720"/>
      <w:contextualSpacing/>
    </w:pPr>
  </w:style>
  <w:style w:type="numbering" w:customStyle="1" w:styleId="Opo2">
    <w:name w:val="Opção 2"/>
    <w:uiPriority w:val="99"/>
    <w:rsid w:val="009C42EF"/>
    <w:pPr>
      <w:numPr>
        <w:numId w:val="3"/>
      </w:numPr>
    </w:pPr>
  </w:style>
  <w:style w:type="numbering" w:customStyle="1" w:styleId="Estilo2">
    <w:name w:val="Estilo2"/>
    <w:uiPriority w:val="99"/>
    <w:rsid w:val="009C42EF"/>
    <w:pPr>
      <w:numPr>
        <w:numId w:val="7"/>
      </w:numPr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C42EF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C42EF"/>
    <w:rPr>
      <w:rFonts w:ascii="Bookman Old Style" w:eastAsia="Calibri" w:hAnsi="Bookman Old Style" w:cs="Times New Roman"/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9C42EF"/>
    <w:rPr>
      <w:vertAlign w:val="superscript"/>
    </w:rPr>
  </w:style>
  <w:style w:type="paragraph" w:customStyle="1" w:styleId="Nivel01">
    <w:name w:val="Nivel 01"/>
    <w:basedOn w:val="Ttulo1"/>
    <w:next w:val="Normal"/>
    <w:autoRedefine/>
    <w:qFormat/>
    <w:rsid w:val="009C42EF"/>
    <w:pPr>
      <w:numPr>
        <w:numId w:val="14"/>
      </w:numPr>
      <w:tabs>
        <w:tab w:val="num" w:pos="360"/>
        <w:tab w:val="left" w:pos="567"/>
      </w:tabs>
      <w:spacing w:after="120" w:line="276" w:lineRule="auto"/>
      <w:ind w:left="0" w:firstLine="0"/>
    </w:pPr>
    <w:rPr>
      <w:rFonts w:ascii="Arial" w:hAnsi="Arial" w:cs="Arial"/>
      <w:b/>
      <w:bCs/>
      <w:color w:val="auto"/>
      <w:sz w:val="20"/>
      <w:szCs w:val="20"/>
      <w:lang w:eastAsia="pt-BR"/>
    </w:rPr>
  </w:style>
  <w:style w:type="paragraph" w:customStyle="1" w:styleId="Nivel2">
    <w:name w:val="Nivel 2"/>
    <w:basedOn w:val="Normal"/>
    <w:link w:val="Nivel2Char"/>
    <w:autoRedefine/>
    <w:qFormat/>
    <w:rsid w:val="009C42EF"/>
    <w:pPr>
      <w:numPr>
        <w:ilvl w:val="1"/>
        <w:numId w:val="14"/>
      </w:numPr>
      <w:spacing w:before="120" w:after="120" w:line="276" w:lineRule="auto"/>
      <w:ind w:left="0" w:firstLine="0"/>
    </w:pPr>
    <w:rPr>
      <w:rFonts w:ascii="Arial" w:eastAsia="Arial" w:hAnsi="Arial" w:cs="Arial"/>
      <w:color w:val="000000"/>
      <w:sz w:val="20"/>
      <w:szCs w:val="20"/>
      <w:lang w:eastAsia="pt-BR"/>
    </w:rPr>
  </w:style>
  <w:style w:type="paragraph" w:customStyle="1" w:styleId="Nivel3">
    <w:name w:val="Nivel 3"/>
    <w:basedOn w:val="Normal"/>
    <w:link w:val="Nivel3Char"/>
    <w:autoRedefine/>
    <w:qFormat/>
    <w:rsid w:val="009C42EF"/>
    <w:pPr>
      <w:numPr>
        <w:ilvl w:val="2"/>
        <w:numId w:val="14"/>
      </w:numPr>
      <w:spacing w:before="120" w:after="120" w:line="276" w:lineRule="auto"/>
      <w:ind w:left="284" w:firstLine="0"/>
    </w:pPr>
    <w:rPr>
      <w:rFonts w:ascii="Arial" w:eastAsiaTheme="minorEastAsia" w:hAnsi="Arial" w:cs="Arial"/>
      <w:color w:val="000000"/>
      <w:sz w:val="20"/>
      <w:szCs w:val="20"/>
      <w:lang w:eastAsia="pt-BR"/>
    </w:rPr>
  </w:style>
  <w:style w:type="paragraph" w:customStyle="1" w:styleId="Nivel4">
    <w:name w:val="Nivel 4"/>
    <w:basedOn w:val="Nivel3"/>
    <w:autoRedefine/>
    <w:qFormat/>
    <w:rsid w:val="009C42EF"/>
    <w:pPr>
      <w:numPr>
        <w:ilvl w:val="3"/>
      </w:numPr>
      <w:tabs>
        <w:tab w:val="num" w:pos="360"/>
      </w:tabs>
      <w:ind w:left="567" w:firstLine="0"/>
    </w:pPr>
    <w:rPr>
      <w:color w:val="auto"/>
    </w:rPr>
  </w:style>
  <w:style w:type="paragraph" w:customStyle="1" w:styleId="Nivel5">
    <w:name w:val="Nivel 5"/>
    <w:basedOn w:val="Nivel4"/>
    <w:autoRedefine/>
    <w:qFormat/>
    <w:rsid w:val="009C42EF"/>
    <w:pPr>
      <w:numPr>
        <w:ilvl w:val="4"/>
      </w:numPr>
      <w:tabs>
        <w:tab w:val="num" w:pos="360"/>
      </w:tabs>
      <w:ind w:left="851" w:firstLine="0"/>
    </w:pPr>
  </w:style>
  <w:style w:type="character" w:customStyle="1" w:styleId="Nivel2Char">
    <w:name w:val="Nivel 2 Char"/>
    <w:basedOn w:val="Fontepargpadro"/>
    <w:link w:val="Nivel2"/>
    <w:locked/>
    <w:rsid w:val="009C42EF"/>
    <w:rPr>
      <w:rFonts w:ascii="Arial" w:eastAsia="Arial" w:hAnsi="Arial" w:cs="Arial"/>
      <w:color w:val="000000"/>
      <w:kern w:val="0"/>
      <w:sz w:val="20"/>
      <w:szCs w:val="20"/>
      <w:lang w:eastAsia="pt-BR"/>
      <w14:ligatures w14:val="none"/>
    </w:rPr>
  </w:style>
  <w:style w:type="paragraph" w:customStyle="1" w:styleId="Nvel2-Red">
    <w:name w:val="Nível 2 -Red"/>
    <w:basedOn w:val="Nivel2"/>
    <w:link w:val="Nvel2-RedChar"/>
    <w:qFormat/>
    <w:rsid w:val="009C42EF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9C42EF"/>
    <w:rPr>
      <w:rFonts w:ascii="Arial" w:eastAsia="Arial" w:hAnsi="Arial" w:cs="Arial"/>
      <w:i/>
      <w:iCs/>
      <w:color w:val="FF0000"/>
      <w:kern w:val="0"/>
      <w:sz w:val="20"/>
      <w:szCs w:val="20"/>
      <w:lang w:eastAsia="pt-BR"/>
      <w14:ligatures w14:val="none"/>
    </w:rPr>
  </w:style>
  <w:style w:type="character" w:customStyle="1" w:styleId="Nivel3Char">
    <w:name w:val="Nivel 3 Char"/>
    <w:basedOn w:val="Fontepargpadro"/>
    <w:link w:val="Nivel3"/>
    <w:rsid w:val="009C42EF"/>
    <w:rPr>
      <w:rFonts w:ascii="Arial" w:eastAsiaTheme="minorEastAsia" w:hAnsi="Arial" w:cs="Arial"/>
      <w:color w:val="000000"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9C42E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Corpodetexto">
    <w:name w:val="Body Text"/>
    <w:basedOn w:val="Normal"/>
    <w:link w:val="CorpodetextoChar"/>
    <w:rsid w:val="008A4E31"/>
    <w:pPr>
      <w:widowControl w:val="0"/>
      <w:autoSpaceDE w:val="0"/>
      <w:autoSpaceDN w:val="0"/>
      <w:spacing w:before="0" w:after="0" w:line="240" w:lineRule="auto"/>
      <w:ind w:left="143"/>
      <w:jc w:val="left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rsid w:val="008A4E31"/>
    <w:rPr>
      <w:rFonts w:ascii="Arial MT" w:eastAsia="Arial MT" w:hAnsi="Arial MT" w:cs="Arial MT"/>
      <w:kern w:val="0"/>
      <w:sz w:val="24"/>
      <w:szCs w:val="24"/>
      <w:lang w:val="pt-PT"/>
      <w14:ligatures w14:val="none"/>
    </w:rPr>
  </w:style>
  <w:style w:type="paragraph" w:customStyle="1" w:styleId="Standard">
    <w:name w:val="Standard"/>
    <w:rsid w:val="008A4E31"/>
    <w:pPr>
      <w:widowControl w:val="0"/>
      <w:tabs>
        <w:tab w:val="left" w:pos="0"/>
        <w:tab w:val="left" w:pos="720"/>
      </w:tabs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customStyle="1" w:styleId="CMIAssinatura">
    <w:name w:val="CMI Assinatura"/>
    <w:basedOn w:val="Normal"/>
    <w:qFormat/>
    <w:pPr>
      <w:keepNext/>
      <w:keepLines/>
      <w:widowControl/>
      <w:spacing w:line="240" w:lineRule="auto" w:before="0" w:after="0"/>
      <w:jc w:val="center"/>
    </w:pPr>
    <w:rPr>
      <w:rFonts w:ascii="Calibri" w:hAnsi="Calibri"/>
      <w:color w:val="000000"/>
      <w:sz w:val="24"/>
    </w:rPr>
  </w:style>
  <w:style w:type="paragraph" w:customStyle="1" w:styleId="CMICabecalhodeTabela">
    <w:name w:val="CMI Cabecalho de Tabela"/>
    <w:basedOn w:val="Normal"/>
    <w:qFormat/>
    <w:pPr>
      <w:keepNext/>
      <w:widowControl/>
      <w:spacing w:line="240" w:lineRule="auto" w:before="40" w:after="40"/>
      <w:ind w:firstLine="0" w:left="0"/>
      <w:jc w:val="center"/>
    </w:pPr>
    <w:rPr>
      <w:rFonts w:ascii="Calibri" w:hAnsi="Calibri"/>
      <w:b/>
      <w:color w:val="000000"/>
      <w:sz w:val="22"/>
    </w:rPr>
  </w:style>
  <w:style w:type="paragraph" w:customStyle="1" w:styleId="CMICampoPendente">
    <w:name w:val="CMI Campo Pendente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b/>
      <w:color w:val="C00000"/>
      <w:sz w:val="24"/>
    </w:rPr>
  </w:style>
  <w:style w:type="paragraph" w:customStyle="1" w:styleId="CMICitacaoLegal">
    <w:name w:val="CMI Citacao Legal"/>
    <w:basedOn w:val="Normal"/>
    <w:qFormat/>
    <w:pPr>
      <w:widowControl/>
      <w:spacing w:line="240" w:lineRule="auto" w:before="120" w:after="120"/>
      <w:ind w:left="2268"/>
      <w:jc w:val="both"/>
    </w:pPr>
    <w:rPr>
      <w:rFonts w:ascii="Calibri" w:hAnsi="Calibri"/>
      <w:color w:val="000000"/>
      <w:sz w:val="22"/>
    </w:rPr>
  </w:style>
  <w:style w:type="paragraph" w:customStyle="1" w:styleId="CMICorpo">
    <w:name w:val="CMI Corpo"/>
    <w:basedOn w:val="Normal"/>
    <w:qFormat/>
    <w:pPr>
      <w:widowControl/>
      <w:spacing w:line="360" w:lineRule="auto" w:before="0" w:after="120"/>
      <w:jc w:val="both"/>
    </w:pPr>
    <w:rPr>
      <w:rFonts w:ascii="Calibri" w:hAnsi="Calibri"/>
      <w:color w:val="000000"/>
      <w:sz w:val="24"/>
    </w:rPr>
  </w:style>
  <w:style w:type="paragraph" w:customStyle="1" w:styleId="CMICorposemRecuo">
    <w:name w:val="CMI Corpo sem Recuo"/>
    <w:basedOn w:val="Normal"/>
    <w:qFormat/>
    <w:pPr>
      <w:widowControl/>
      <w:spacing w:line="360" w:lineRule="auto" w:before="0" w:after="120"/>
      <w:ind w:firstLine="0"/>
      <w:jc w:val="both"/>
    </w:pPr>
    <w:rPr>
      <w:rFonts w:ascii="Calibri" w:hAnsi="Calibri"/>
      <w:color w:val="000000"/>
      <w:sz w:val="24"/>
    </w:rPr>
  </w:style>
  <w:style w:type="paragraph" w:customStyle="1" w:styleId="CMIIdentificacao">
    <w:name w:val="CMI Identificacao"/>
    <w:basedOn w:val="Normal"/>
    <w:qFormat/>
    <w:pPr>
      <w:widowControl/>
      <w:spacing w:line="240" w:lineRule="auto" w:before="0" w:after="120"/>
      <w:ind w:firstLine="0"/>
      <w:jc w:val="left"/>
    </w:pPr>
    <w:rPr>
      <w:rFonts w:ascii="Calibri" w:hAnsi="Calibri"/>
      <w:color w:val="000000"/>
      <w:sz w:val="24"/>
    </w:rPr>
  </w:style>
  <w:style w:type="paragraph" w:customStyle="1" w:styleId="CMIItemNumerado1">
    <w:name w:val="CMI Item Numerado 1"/>
    <w:basedOn w:val="Normal"/>
    <w:qFormat/>
    <w:pPr>
      <w:widowControl/>
      <w:spacing w:line="360" w:lineRule="auto" w:before="0" w:after="120"/>
      <w:ind w:firstLine="0" w:left="0"/>
      <w:jc w:val="both"/>
    </w:pPr>
    <w:rPr>
      <w:rFonts w:ascii="Calibri" w:hAnsi="Calibri"/>
      <w:color w:val="000000"/>
      <w:sz w:val="24"/>
    </w:rPr>
  </w:style>
  <w:style w:type="paragraph" w:customStyle="1" w:styleId="CMIItemNumerado2">
    <w:name w:val="CMI Item Numerado 2"/>
    <w:basedOn w:val="Normal"/>
    <w:qFormat/>
    <w:pPr>
      <w:widowControl/>
      <w:spacing w:line="360" w:lineRule="auto" w:before="0" w:after="120"/>
      <w:ind w:firstLine="0" w:left="567"/>
      <w:jc w:val="both"/>
    </w:pPr>
    <w:rPr>
      <w:rFonts w:ascii="Calibri" w:hAnsi="Calibri"/>
      <w:color w:val="000000"/>
      <w:sz w:val="24"/>
    </w:rPr>
  </w:style>
  <w:style w:type="paragraph" w:customStyle="1" w:styleId="CMIItemNumerado3">
    <w:name w:val="CMI Item Numerado 3"/>
    <w:basedOn w:val="Normal"/>
    <w:qFormat/>
    <w:pPr>
      <w:widowControl/>
      <w:spacing w:line="360" w:lineRule="auto" w:before="0" w:after="120"/>
      <w:ind w:firstLine="0" w:left="1134"/>
      <w:jc w:val="both"/>
    </w:pPr>
    <w:rPr>
      <w:rFonts w:ascii="Calibri" w:hAnsi="Calibri"/>
      <w:color w:val="000000"/>
      <w:sz w:val="24"/>
    </w:rPr>
  </w:style>
  <w:style w:type="paragraph" w:customStyle="1" w:styleId="CMIMarcador">
    <w:name w:val="CMI Marcador"/>
    <w:basedOn w:val="Normal"/>
    <w:qFormat/>
    <w:pPr>
      <w:widowControl/>
      <w:spacing w:line="360" w:lineRule="auto" w:before="0" w:after="120"/>
      <w:ind w:firstLine="0" w:left="567"/>
      <w:jc w:val="both"/>
    </w:pPr>
    <w:rPr>
      <w:rFonts w:ascii="Calibri" w:hAnsi="Calibri"/>
      <w:color w:val="000000"/>
      <w:sz w:val="24"/>
    </w:rPr>
  </w:style>
  <w:style w:type="paragraph" w:customStyle="1" w:styleId="CMINota">
    <w:name w:val="CMI Nota"/>
    <w:basedOn w:val="Normal"/>
    <w:qFormat/>
    <w:pPr>
      <w:widowControl/>
      <w:spacing w:line="240" w:lineRule="auto" w:before="0" w:after="120"/>
      <w:jc w:val="both"/>
    </w:pPr>
    <w:rPr>
      <w:rFonts w:ascii="Calibri" w:hAnsi="Calibri"/>
      <w:color w:val="000000"/>
      <w:sz w:val="20"/>
    </w:rPr>
  </w:style>
  <w:style w:type="paragraph" w:customStyle="1" w:styleId="CMITabela">
    <w:name w:val="CMI Tabela"/>
    <w:basedOn w:val="Normal"/>
    <w:qFormat/>
    <w:pPr>
      <w:widowControl/>
      <w:spacing w:line="240" w:lineRule="auto" w:before="40" w:after="40"/>
      <w:ind w:firstLine="0" w:left="0"/>
      <w:jc w:val="left"/>
    </w:pPr>
    <w:rPr>
      <w:rFonts w:ascii="Calibri" w:hAnsi="Calibri"/>
      <w:color w:val="000000"/>
      <w:sz w:val="22"/>
    </w:rPr>
  </w:style>
  <w:style w:type="paragraph" w:customStyle="1" w:styleId="CMITitulo1">
    <w:name w:val="CMI Titulo 1"/>
    <w:basedOn w:val="Normal"/>
    <w:qFormat/>
    <w:pPr>
      <w:keepNext/>
      <w:keepLines/>
      <w:widowControl/>
      <w:spacing w:line="240" w:lineRule="auto" w:before="240" w:after="120"/>
      <w:jc w:val="left"/>
    </w:pPr>
    <w:rPr>
      <w:rFonts w:ascii="Calibri" w:hAnsi="Calibri"/>
      <w:b/>
      <w:i w:val="0"/>
      <w:color w:val="000000"/>
      <w:sz w:val="24"/>
    </w:rPr>
  </w:style>
  <w:style w:type="paragraph" w:customStyle="1" w:styleId="CMITitulo2">
    <w:name w:val="CMI Titulo 2"/>
    <w:basedOn w:val="Normal"/>
    <w:qFormat/>
    <w:pPr>
      <w:keepNext/>
      <w:keepLines/>
      <w:widowControl/>
      <w:spacing w:line="240" w:lineRule="auto" w:before="200" w:after="120"/>
      <w:jc w:val="left"/>
    </w:pPr>
    <w:rPr>
      <w:rFonts w:ascii="Calibri" w:hAnsi="Calibri"/>
      <w:b/>
      <w:i w:val="0"/>
      <w:color w:val="000000"/>
      <w:sz w:val="24"/>
    </w:rPr>
  </w:style>
  <w:style w:type="paragraph" w:customStyle="1" w:styleId="CMITitulo3">
    <w:name w:val="CMI Titulo 3"/>
    <w:basedOn w:val="Normal"/>
    <w:qFormat/>
    <w:pPr>
      <w:keepNext/>
      <w:keepLines/>
      <w:widowControl/>
      <w:spacing w:line="240" w:lineRule="auto" w:before="160" w:after="120"/>
      <w:jc w:val="left"/>
    </w:pPr>
    <w:rPr>
      <w:rFonts w:ascii="Calibri" w:hAnsi="Calibri"/>
      <w:b/>
      <w:i/>
      <w:color w:val="000000"/>
      <w:sz w:val="24"/>
    </w:rPr>
  </w:style>
  <w:style w:type="paragraph" w:customStyle="1" w:styleId="CMITitulodoDocumento">
    <w:name w:val="CMI Titulo do Documento"/>
    <w:basedOn w:val="Normal"/>
    <w:qFormat/>
    <w:pPr>
      <w:keepNext/>
      <w:widowControl/>
      <w:spacing w:line="240" w:lineRule="auto" w:before="0" w:after="240"/>
      <w:jc w:val="center"/>
    </w:pPr>
    <w:rPr>
      <w:rFonts w:ascii="Calibri" w:hAnsi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79F6C-307B-4690-A6EF-24E0413C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21</Pages>
  <Words>4451</Words>
  <Characters>24036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Contratacoes Anual - minuta-mae</dc:title>
  <dc:subject/>
  <dc:creator>Camara Municipal de Itanhandu</dc:creator>
  <cp:keywords/>
  <dc:description/>
  <cp:lastModifiedBy>Camara Municipal de Itanhandu</cp:lastModifiedBy>
  <cp:revision>12</cp:revision>
  <cp:lastPrinted>2023-12-09T16:43:00Z</cp:lastPrinted>
  <dcterms:created xsi:type="dcterms:W3CDTF">2023-12-11T20:24:00Z</dcterms:created>
  <dcterms:modified xsi:type="dcterms:W3CDTF">2025-11-16T14:56:00Z</dcterms:modified>
  <cp:category>minuta-mae</cp:category>
</cp:coreProperties>
</file>