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AVISO DE CONTRATAÇÃO DIRETA Nº ____/</w:t>
      </w:r>
      <w:r>
        <w:rPr>
          <w:rFonts w:ascii="Calibri" w:hAnsi="Calibri"/>
          <w:b/>
          <w:i w:val="0"/>
          <w:color w:val="C00000"/>
          <w:sz w:val="28"/>
        </w:rPr>
        <w:t>{{ANO}}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CÂMARA MUNICIPAL DE ITANHANDU — ESTADO DE MINAS GERAIS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Processo Administrativo nº: </w:t>
      </w:r>
      <w:r>
        <w:rPr>
          <w:rFonts w:ascii="Calibri" w:hAnsi="Calibri"/>
          <w:b w:val="0"/>
          <w:i w:val="0"/>
          <w:color w:val="C00000"/>
          <w:sz w:val="24"/>
        </w:rPr>
        <w:t>[PREENCHER: nº do processo]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Unidade requisitante: </w:t>
      </w:r>
      <w:r>
        <w:rPr>
          <w:rFonts w:ascii="Calibri" w:hAnsi="Calibri"/>
          <w:b w:val="0"/>
          <w:i w:val="0"/>
          <w:color w:val="C00000"/>
          <w:sz w:val="24"/>
        </w:rPr>
        <w:t>{{UNIDADE_REQUISITANTE}}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Modalidade: Dispensa de licitação (art. 75, [I](  ) [II](  ) da Lei nº 14.133/2021)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1. Objeto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especificação do objeto a ser adquirido ou contratado, com quantidades e, quando cabível, preço estimado por item.]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2. Quantidades e preço estimado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Quantidade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Preço estimado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R$ </w:t>
            </w:r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...</w:t>
            </w:r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1814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Valor total estimado:</w:t>
      </w:r>
      <w:r>
        <w:rPr>
          <w:rFonts w:ascii="Calibri" w:hAnsi="Calibri"/>
          <w:b w:val="0"/>
          <w:i w:val="0"/>
          <w:color w:val="000000"/>
          <w:sz w:val="24"/>
        </w:rPr>
        <w:t xml:space="preserve"> R$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*(Quando a estimativa de preços for realizada concomitantemente à seleção da proposta mais vantajosa, na forma do § 2º do art. 5º da Portaria 06/2024, informar:)*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  ) A estimativa de preços será realizada concomitantemente à seleção da proposta, nos termos permitidos pela legislação.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3. Local e prazo de entrega / prestação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Local: </w:t>
      </w:r>
      <w:r>
        <w:rPr>
          <w:rFonts w:ascii="Calibri" w:hAnsi="Calibri"/>
          <w:b w:val="0"/>
          <w:i w:val="0"/>
          <w:color w:val="C00000"/>
          <w:sz w:val="24"/>
        </w:rPr>
        <w:t>{{LOCAL_ENTREGA}}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Prazo: </w:t>
      </w:r>
      <w:r>
        <w:rPr>
          <w:rFonts w:ascii="Calibri" w:hAnsi="Calibri"/>
          <w:b w:val="0"/>
          <w:i w:val="0"/>
          <w:color w:val="C00000"/>
          <w:sz w:val="24"/>
        </w:rPr>
        <w:t>{{PRAZO_ENTREGA}}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4. Condições da contratação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condições gerais da contratação, conforme Termo de Referência anexo — manutenção, assistência técnica, garantias, formas e prazos de pagamento, quando aplicável.]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5. Microempresas e empresas de pequeno porte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Serão observadas as disposições da </w:t>
      </w:r>
      <w:r>
        <w:rPr>
          <w:rFonts w:ascii="Calibri" w:hAnsi="Calibri"/>
          <w:b/>
          <w:i w:val="0"/>
          <w:color w:val="000000"/>
          <w:sz w:val="24"/>
        </w:rPr>
        <w:t>Lei Complementar nº 123/2006</w:t>
      </w:r>
      <w:r>
        <w:rPr>
          <w:rFonts w:ascii="Calibri" w:hAnsi="Calibri"/>
          <w:b w:val="0"/>
          <w:i w:val="0"/>
          <w:color w:val="000000"/>
          <w:sz w:val="24"/>
        </w:rPr>
        <w:t>, em especial os arts. 42 a 49, nos termos do aviso.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6. Sanções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O fornecedor ou prestador estará sujeito às sanções administrativas previstas na Lei nº 14.133/2021 pela inexecução total ou parcial do ajuste.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7. Apresentação de proposta e documentação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</w:t>
      </w:r>
      <w:r>
        <w:rPr>
          <w:rFonts w:ascii="Calibri" w:hAnsi="Calibri"/>
          <w:b/>
          <w:i w:val="0"/>
          <w:color w:val="000000"/>
          <w:sz w:val="24"/>
        </w:rPr>
        <w:t>Data e horário máximo</w:t>
      </w:r>
      <w:r>
        <w:rPr>
          <w:rFonts w:ascii="Calibri" w:hAnsi="Calibri"/>
          <w:b w:val="0"/>
          <w:i w:val="0"/>
          <w:color w:val="000000"/>
          <w:sz w:val="24"/>
        </w:rPr>
        <w:t xml:space="preserve"> para envio da documentação e da proposta/cotação de preços: </w:t>
      </w:r>
      <w:r>
        <w:rPr>
          <w:rFonts w:ascii="Calibri" w:hAnsi="Calibri"/>
          <w:b w:val="0"/>
          <w:i w:val="0"/>
          <w:color w:val="C00000"/>
          <w:sz w:val="24"/>
        </w:rPr>
        <w:t>{{DATA_HORA_MAXIMA}}</w:t>
      </w:r>
      <w:r>
        <w:rPr>
          <w:rFonts w:ascii="Calibri" w:hAnsi="Calibri"/>
          <w:b w:val="0"/>
          <w:i w:val="0"/>
          <w:color w:val="000000"/>
          <w:sz w:val="24"/>
        </w:rPr>
        <w:t>, respeitado o horário comercial.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</w:t>
      </w:r>
      <w:r>
        <w:rPr>
          <w:rFonts w:ascii="Calibri" w:hAnsi="Calibri"/>
          <w:b/>
          <w:i w:val="0"/>
          <w:color w:val="000000"/>
          <w:sz w:val="24"/>
        </w:rPr>
        <w:t>Endereço eletrônico (e-mail):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{{EMAIL}}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(  ) Facultada a entrega da documentação e proposta no setor de licitações, mediante protocolo: </w:t>
      </w:r>
      <w:r>
        <w:rPr>
          <w:rFonts w:ascii="Calibri" w:hAnsi="Calibri"/>
          <w:b w:val="0"/>
          <w:i w:val="0"/>
          <w:color w:val="C00000"/>
          <w:sz w:val="24"/>
        </w:rPr>
        <w:t>{{LOCAL_PROTOCOLO}}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 proposta deverá conter a descrição do objeto ofertado, a marca do produto, quando for o caso, o preço e as declarações previstas no art. 9º da Portaria 06/2024 (inexistência de fato impeditivo; enquadramento ME/EPP; aceitação das regras; reserva de cargos p/ pessoa com deficiência — art. 93 da Lei 8.213/1991; cumprimento do art. 68, VI, da Lei 14.133/2021).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8. Critério de seleção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Será selecionada a </w:t>
      </w:r>
      <w:r>
        <w:rPr>
          <w:rFonts w:ascii="Calibri" w:hAnsi="Calibri"/>
          <w:b/>
          <w:i w:val="0"/>
          <w:color w:val="000000"/>
          <w:sz w:val="24"/>
        </w:rPr>
        <w:t>proposta mais vantajosa para a Administração</w:t>
      </w:r>
      <w:r>
        <w:rPr>
          <w:rFonts w:ascii="Calibri" w:hAnsi="Calibri"/>
          <w:b w:val="0"/>
          <w:i w:val="0"/>
          <w:color w:val="000000"/>
          <w:sz w:val="24"/>
        </w:rPr>
        <w:t>, observada a adequação ao objeto e a compatibilidade do preço (art. 11 e § único da Portaria 06/2024).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9. Publicação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Este aviso foi divulgado no </w:t>
      </w:r>
      <w:r>
        <w:rPr>
          <w:rFonts w:ascii="Calibri" w:hAnsi="Calibri"/>
          <w:b/>
          <w:i w:val="0"/>
          <w:color w:val="000000"/>
          <w:sz w:val="24"/>
        </w:rPr>
        <w:t>Diário Oficial</w:t>
      </w:r>
      <w:r>
        <w:rPr>
          <w:rFonts w:ascii="Calibri" w:hAnsi="Calibri"/>
          <w:b w:val="0"/>
          <w:i w:val="0"/>
          <w:color w:val="000000"/>
          <w:sz w:val="24"/>
        </w:rPr>
        <w:t xml:space="preserve"> (indicar veículo: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 xml:space="preserve">), no </w:t>
      </w:r>
      <w:r>
        <w:rPr>
          <w:rFonts w:ascii="Calibri" w:hAnsi="Calibri"/>
          <w:b/>
          <w:i w:val="0"/>
          <w:color w:val="000000"/>
          <w:sz w:val="24"/>
        </w:rPr>
        <w:t>sítio eletrônico oficial</w:t>
      </w:r>
      <w:r>
        <w:rPr>
          <w:rFonts w:ascii="Calibri" w:hAnsi="Calibri"/>
          <w:b w:val="0"/>
          <w:i w:val="0"/>
          <w:color w:val="000000"/>
          <w:sz w:val="24"/>
        </w:rPr>
        <w:t xml:space="preserve"> da Câmara e no </w:t>
      </w:r>
      <w:r>
        <w:rPr>
          <w:rFonts w:ascii="Calibri" w:hAnsi="Calibri"/>
          <w:b/>
          <w:i w:val="0"/>
          <w:color w:val="000000"/>
          <w:sz w:val="24"/>
        </w:rPr>
        <w:t>PNCP</w:t>
      </w:r>
      <w:r>
        <w:rPr>
          <w:rFonts w:ascii="Calibri" w:hAnsi="Calibri"/>
          <w:b w:val="0"/>
          <w:i w:val="0"/>
          <w:color w:val="000000"/>
          <w:sz w:val="24"/>
        </w:rPr>
        <w:t xml:space="preserve"> (Portal Nacional de Contratações Públicas), na forma do art. 6º e § único da Portaria 06/2024, observado o prazo mínimo de </w:t>
      </w:r>
      <w:r>
        <w:rPr>
          <w:rFonts w:ascii="Calibri" w:hAnsi="Calibri"/>
          <w:b/>
          <w:i w:val="0"/>
          <w:color w:val="000000"/>
          <w:sz w:val="24"/>
        </w:rPr>
        <w:t>3 (três) dias úteis</w:t>
      </w:r>
      <w:r>
        <w:rPr>
          <w:rFonts w:ascii="Calibri" w:hAnsi="Calibri"/>
          <w:b w:val="0"/>
          <w:i w:val="0"/>
          <w:color w:val="000000"/>
          <w:sz w:val="24"/>
        </w:rPr>
        <w:t xml:space="preserve"> entre a publicação e a abertura do procedimento (art. 5º, § 1º, da Portaria 06/2024).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{{NOME_PRESIDENTE}}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Presidente da Câmara Municipal de Itanhandu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Portaria 06/2024 (Câmara), arts. 2º, 5º e 6º; Portaria 02/PRES./2024 (TCE-MG), art. 5º.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Contratação Direta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