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Calibri" w:hAnsi="Calibri"/>
          <w:b/>
          <w:i w:val="0"/>
          <w:color w:val="000000"/>
          <w:sz w:val="28"/>
        </w:rPr>
        <w:t>PROCESSO DE [DISPENSA | INEXIGIBILIDADE] DE LICITAÇÃO Nº ____/</w:t>
      </w:r>
      <w:r>
        <w:rPr>
          <w:rFonts w:ascii="Calibri" w:hAnsi="Calibri"/>
          <w:b/>
          <w:i w:val="0"/>
          <w:color w:val="C00000"/>
          <w:sz w:val="28"/>
        </w:rPr>
        <w:t>{{ANO}}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Objeto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[PREENCHER: descrição resumida e precisa do objeto]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Processo Administrativo nº: </w:t>
      </w:r>
      <w:r>
        <w:rPr>
          <w:rFonts w:ascii="Calibri" w:hAnsi="Calibri"/>
          <w:b w:val="0"/>
          <w:i w:val="0"/>
          <w:color w:val="C00000"/>
          <w:sz w:val="24"/>
        </w:rPr>
        <w:t>[PREENCHER: nº do processo]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Unidade requisitante: </w:t>
      </w:r>
      <w:r>
        <w:rPr>
          <w:rFonts w:ascii="Calibri" w:hAnsi="Calibri"/>
          <w:b w:val="0"/>
          <w:i w:val="0"/>
          <w:color w:val="C00000"/>
          <w:sz w:val="24"/>
        </w:rPr>
        <w:t>{{UNIDADE_REQUISITANTE}}</w:t>
      </w:r>
    </w:p>
    <w:p>
      <w:pPr>
        <w:spacing w:before="0" w:after="0"/>
        <w:pBdr>
          <w:bottom w:val="single" w:sz="6" w:space="1" w:color="999999"/>
        </w:pBdr>
      </w:pP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DESPACHO AUTORIZATIVO/RATIFICAÇÃO DA AUTORIDADE COMPETENTE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Com arrimo no </w:t>
      </w:r>
      <w:r>
        <w:rPr>
          <w:rFonts w:ascii="Calibri" w:hAnsi="Calibri"/>
          <w:b/>
          <w:i w:val="0"/>
          <w:color w:val="000000"/>
          <w:sz w:val="24"/>
        </w:rPr>
        <w:t>inciso VIII do art. 72 da Lei nº 14.133, de 1º de abril de 2021</w:t>
      </w:r>
      <w:r>
        <w:rPr>
          <w:rFonts w:ascii="Calibri" w:hAnsi="Calibri"/>
          <w:b w:val="0"/>
          <w:i w:val="0"/>
          <w:color w:val="000000"/>
          <w:sz w:val="24"/>
        </w:rPr>
        <w:t>, e à vista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[do parecer jurídico exarado nos autos — nº do documento/processo (  ) | do checklist de conformidade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preenchido nos termos do art. 1º do Ato do Diretor Jurídico nº 01/2024 (  )];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considerando que a contratação direta se enquadra na hipótese legal de: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- </w:t>
      </w:r>
      <w:r>
        <w:rPr>
          <w:rFonts w:ascii="Calibri" w:hAnsi="Calibri"/>
          <w:b/>
          <w:i w:val="0"/>
          <w:color w:val="000000"/>
          <w:sz w:val="24"/>
        </w:rPr>
        <w:t>Inexigibilidade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art. 74, [inciso (  ) I  (  ) II  (  ) III, "f", c/c § 3º  (  ) outro: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  <w:r>
        <w:rPr>
          <w:rFonts w:ascii="Calibri" w:hAnsi="Calibri"/>
          <w:b w:val="0"/>
          <w:i w:val="0"/>
          <w:color w:val="000000"/>
          <w:sz w:val="24"/>
        </w:rPr>
        <w:t>], da Lei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nº 14.133/2021, por </w:t>
      </w:r>
      <w:r>
        <w:rPr>
          <w:rFonts w:ascii="Calibri" w:hAnsi="Calibri"/>
          <w:b w:val="0"/>
          <w:i w:val="0"/>
          <w:color w:val="C00000"/>
          <w:sz w:val="24"/>
        </w:rPr>
        <w:t>[PREENCHER: razão da inviabilidade de competição / notória especialização etc.]</w:t>
      </w:r>
      <w:r>
        <w:rPr>
          <w:rFonts w:ascii="Calibri" w:hAnsi="Calibri"/>
          <w:b w:val="0"/>
          <w:i w:val="0"/>
          <w:color w:val="000000"/>
          <w:sz w:val="24"/>
        </w:rPr>
        <w:t>; *(não se aplica à dispensa)*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- </w:t>
      </w:r>
      <w:r>
        <w:rPr>
          <w:rFonts w:ascii="Calibri" w:hAnsi="Calibri"/>
          <w:b/>
          <w:i w:val="0"/>
          <w:color w:val="000000"/>
          <w:sz w:val="24"/>
        </w:rPr>
        <w:t>Dispensa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art. 75, [inciso (  ) I  (  ) II], da Lei nº 14.133/2021, em razão do valor;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considerando o </w:t>
      </w:r>
      <w:r>
        <w:rPr>
          <w:rFonts w:ascii="Calibri" w:hAnsi="Calibri"/>
          <w:b/>
          <w:i w:val="0"/>
          <w:color w:val="000000"/>
          <w:sz w:val="24"/>
        </w:rPr>
        <w:t>valor estimado</w:t>
      </w:r>
      <w:r>
        <w:rPr>
          <w:rFonts w:ascii="Calibri" w:hAnsi="Calibri"/>
          <w:b w:val="0"/>
          <w:i w:val="0"/>
          <w:color w:val="000000"/>
          <w:sz w:val="24"/>
        </w:rPr>
        <w:t xml:space="preserve"> de R$ </w:t>
      </w:r>
      <w:r>
        <w:rPr>
          <w:rFonts w:ascii="Calibri" w:hAnsi="Calibri"/>
          <w:b w:val="0"/>
          <w:i w:val="0"/>
          <w:color w:val="C00000"/>
          <w:sz w:val="24"/>
        </w:rPr>
        <w:t>{{VALOR_ESTIMADO}}</w:t>
      </w:r>
      <w:r>
        <w:rPr>
          <w:rFonts w:ascii="Calibri" w:hAnsi="Calibri"/>
          <w:b w:val="0"/>
          <w:i w:val="0"/>
          <w:color w:val="000000"/>
          <w:sz w:val="24"/>
        </w:rPr>
        <w:t>, resultante da pesquisa/justificativa de preços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constante dos autos (doc. </w:t>
      </w:r>
      <w:r>
        <w:rPr>
          <w:rFonts w:ascii="Calibri" w:hAnsi="Calibri"/>
          <w:b w:val="0"/>
          <w:i w:val="0"/>
          <w:color w:val="C00000"/>
          <w:sz w:val="24"/>
        </w:rPr>
        <w:t>[PREENCHER]</w:t>
      </w:r>
      <w:r>
        <w:rPr>
          <w:rFonts w:ascii="Calibri" w:hAnsi="Calibri"/>
          <w:b w:val="0"/>
          <w:i w:val="0"/>
          <w:color w:val="000000"/>
          <w:sz w:val="24"/>
        </w:rPr>
        <w:t>);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considerando que **[aviso de contratação direta publicado em </w:t>
      </w:r>
      <w:r>
        <w:rPr>
          <w:rFonts w:ascii="Calibri" w:hAnsi="Calibri"/>
          <w:b w:val="0"/>
          <w:i w:val="0"/>
          <w:color w:val="C00000"/>
          <w:sz w:val="24"/>
        </w:rPr>
        <w:t>{{DATA_PUBLICACAO}}</w:t>
      </w:r>
      <w:r>
        <w:rPr>
          <w:rFonts w:ascii="Calibri" w:hAnsi="Calibri"/>
          <w:b w:val="0"/>
          <w:i w:val="0"/>
          <w:color w:val="000000"/>
          <w:sz w:val="24"/>
        </w:rPr>
        <w:t>, com prazo de 3 (três) dias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úteis, no sítio eletrônico oficial e no PNCP (  ) | a não publicação do aviso foi justificada nos autos (  )]**;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considerando que o(s) fornecedor(es) consultado(s)/proponente(s) </w:t>
      </w:r>
      <w:r>
        <w:rPr>
          <w:rFonts w:ascii="Calibri" w:hAnsi="Calibri"/>
          <w:b w:val="0"/>
          <w:i w:val="0"/>
          <w:color w:val="C00000"/>
          <w:sz w:val="24"/>
        </w:rPr>
        <w:t>[PREENCHER: nome, CNPJ/CPF]</w:t>
      </w:r>
      <w:r>
        <w:rPr>
          <w:rFonts w:ascii="Calibri" w:hAnsi="Calibri"/>
          <w:b w:val="0"/>
          <w:i w:val="0"/>
          <w:color w:val="000000"/>
          <w:sz w:val="24"/>
        </w:rPr>
        <w:t xml:space="preserve"> atende(m) aos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requisitos de habilitação verificados na forma do art. 15 e, quando aplicável, do art. 16 da Portaria 06/2024;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[se dispensa por valor — preencher o bloco abaixo:]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considerando a </w:t>
      </w:r>
      <w:r>
        <w:rPr>
          <w:rFonts w:ascii="Calibri" w:hAnsi="Calibri"/>
          <w:b/>
          <w:i w:val="0"/>
          <w:color w:val="000000"/>
          <w:sz w:val="24"/>
        </w:rPr>
        <w:t>subclasse CNAE</w:t>
      </w:r>
      <w:r>
        <w:rPr>
          <w:rFonts w:ascii="Calibri" w:hAnsi="Calibri"/>
          <w:b w:val="0"/>
          <w:i w:val="0"/>
          <w:color w:val="000000"/>
          <w:sz w:val="24"/>
        </w:rPr>
        <w:t xml:space="preserve"> do objeto — código </w:t>
      </w:r>
      <w:r>
        <w:rPr>
          <w:rFonts w:ascii="Calibri" w:hAnsi="Calibri"/>
          <w:b w:val="0"/>
          <w:i w:val="0"/>
          <w:color w:val="C00000"/>
          <w:sz w:val="24"/>
        </w:rPr>
        <w:t>{{CNAE}}</w:t>
      </w:r>
      <w:r>
        <w:rPr>
          <w:rFonts w:ascii="Calibri" w:hAnsi="Calibri"/>
          <w:b w:val="0"/>
          <w:i w:val="0"/>
          <w:color w:val="000000"/>
          <w:sz w:val="24"/>
        </w:rPr>
        <w:t xml:space="preserve"> (</w:t>
      </w:r>
      <w:r>
        <w:rPr>
          <w:rFonts w:ascii="Calibri" w:hAnsi="Calibri"/>
          <w:b w:val="0"/>
          <w:i w:val="0"/>
          <w:color w:val="C00000"/>
          <w:sz w:val="24"/>
        </w:rPr>
        <w:t>{{DESCRICAO_CNAE}}</w:t>
      </w:r>
      <w:r>
        <w:rPr>
          <w:rFonts w:ascii="Calibri" w:hAnsi="Calibri"/>
          <w:b w:val="0"/>
          <w:i w:val="0"/>
          <w:color w:val="000000"/>
          <w:sz w:val="24"/>
        </w:rPr>
        <w:t xml:space="preserve">) — , o </w:t>
      </w:r>
      <w:r>
        <w:rPr>
          <w:rFonts w:ascii="Calibri" w:hAnsi="Calibri"/>
          <w:b/>
          <w:i w:val="0"/>
          <w:color w:val="000000"/>
          <w:sz w:val="24"/>
        </w:rPr>
        <w:t>somatório anual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despendido no exercício com a mesma subclasse de R$ </w:t>
      </w:r>
      <w:r>
        <w:rPr>
          <w:rFonts w:ascii="Calibri" w:hAnsi="Calibri"/>
          <w:b w:val="0"/>
          <w:i w:val="0"/>
          <w:color w:val="C00000"/>
          <w:sz w:val="24"/>
        </w:rPr>
        <w:t>{{SOMATORIO_ANUAL}}</w:t>
      </w:r>
      <w:r>
        <w:rPr>
          <w:rFonts w:ascii="Calibri" w:hAnsi="Calibri"/>
          <w:b w:val="0"/>
          <w:i w:val="0"/>
          <w:color w:val="000000"/>
          <w:sz w:val="24"/>
        </w:rPr>
        <w:t xml:space="preserve"> e o </w:t>
      </w:r>
      <w:r>
        <w:rPr>
          <w:rFonts w:ascii="Calibri" w:hAnsi="Calibri"/>
          <w:b/>
          <w:i w:val="0"/>
          <w:color w:val="000000"/>
          <w:sz w:val="24"/>
        </w:rPr>
        <w:t>limite vigente</w:t>
      </w:r>
      <w:r>
        <w:rPr>
          <w:rFonts w:ascii="Calibri" w:hAnsi="Calibri"/>
          <w:b w:val="0"/>
          <w:i w:val="0"/>
          <w:color w:val="000000"/>
          <w:sz w:val="24"/>
        </w:rPr>
        <w:t xml:space="preserve"> de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R$ </w:t>
      </w:r>
      <w:r>
        <w:rPr>
          <w:rFonts w:ascii="Calibri" w:hAnsi="Calibri"/>
          <w:b w:val="0"/>
          <w:i w:val="0"/>
          <w:color w:val="C00000"/>
          <w:sz w:val="24"/>
        </w:rPr>
        <w:t>{{LIMITE_VIGENTE}}</w:t>
      </w:r>
      <w:r>
        <w:rPr>
          <w:rFonts w:ascii="Calibri" w:hAnsi="Calibri"/>
          <w:b w:val="0"/>
          <w:i w:val="0"/>
          <w:color w:val="000000"/>
          <w:sz w:val="24"/>
        </w:rPr>
        <w:t xml:space="preserve"> (art. 75, [I | II], atualizado por decreto), sem configurar </w:t>
      </w:r>
      <w:r>
        <w:rPr>
          <w:rFonts w:ascii="Calibri" w:hAnsi="Calibri"/>
          <w:b/>
          <w:i w:val="0"/>
          <w:color w:val="000000"/>
          <w:sz w:val="24"/>
        </w:rPr>
        <w:t>fracionamento</w:t>
      </w:r>
      <w:r>
        <w:rPr>
          <w:rFonts w:ascii="Calibri" w:hAnsi="Calibri"/>
          <w:b w:val="0"/>
          <w:i w:val="0"/>
          <w:color w:val="000000"/>
          <w:sz w:val="24"/>
        </w:rPr>
        <w:t xml:space="preserve"> (Portaria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06/2024, art. 2º, §§ 1º e 2º);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considerando a demonstração de </w:t>
      </w:r>
      <w:r>
        <w:rPr>
          <w:rFonts w:ascii="Calibri" w:hAnsi="Calibri"/>
          <w:b/>
          <w:i w:val="0"/>
          <w:color w:val="000000"/>
          <w:sz w:val="24"/>
        </w:rPr>
        <w:t>compatibilidade da previsão de recursos orçamentários</w:t>
      </w:r>
      <w:r>
        <w:rPr>
          <w:rFonts w:ascii="Calibri" w:hAnsi="Calibri"/>
          <w:b w:val="0"/>
          <w:i w:val="0"/>
          <w:color w:val="000000"/>
          <w:sz w:val="24"/>
        </w:rPr>
        <w:t xml:space="preserve"> com o compromisso a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ser assumido (Portaria 06/2024, art. 3º, IV);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AUTORIZO a contratação direta</w:t>
      </w:r>
      <w:r>
        <w:rPr>
          <w:rFonts w:ascii="Calibri" w:hAnsi="Calibri"/>
          <w:b w:val="0"/>
          <w:i w:val="0"/>
          <w:color w:val="000000"/>
          <w:sz w:val="24"/>
        </w:rPr>
        <w:t xml:space="preserve">, por </w:t>
      </w:r>
      <w:r>
        <w:rPr>
          <w:rFonts w:ascii="Calibri" w:hAnsi="Calibri"/>
          <w:b w:val="0"/>
          <w:i w:val="0"/>
          <w:color w:val="C00000"/>
          <w:sz w:val="24"/>
        </w:rPr>
        <w:t>{{TIPO_CONTRATACAO}}</w:t>
      </w:r>
      <w:r>
        <w:rPr>
          <w:rFonts w:ascii="Calibri" w:hAnsi="Calibri"/>
          <w:b w:val="0"/>
          <w:i w:val="0"/>
          <w:color w:val="000000"/>
          <w:sz w:val="24"/>
        </w:rPr>
        <w:t xml:space="preserve">, de </w:t>
      </w:r>
      <w:r>
        <w:rPr>
          <w:rFonts w:ascii="Calibri" w:hAnsi="Calibri"/>
          <w:b w:val="0"/>
          <w:i w:val="0"/>
          <w:color w:val="C00000"/>
          <w:sz w:val="24"/>
        </w:rPr>
        <w:t>{{CONTRATADA}}</w:t>
      </w:r>
      <w:r>
        <w:rPr>
          <w:rFonts w:ascii="Calibri" w:hAnsi="Calibri"/>
          <w:b w:val="0"/>
          <w:i w:val="0"/>
          <w:color w:val="000000"/>
          <w:sz w:val="24"/>
        </w:rPr>
        <w:t>, inscrita no CNPJ/CPF sob o nº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{{CNPJ}}</w:t>
      </w:r>
      <w:r>
        <w:rPr>
          <w:rFonts w:ascii="Calibri" w:hAnsi="Calibri"/>
          <w:b w:val="0"/>
          <w:i w:val="0"/>
          <w:color w:val="000000"/>
          <w:sz w:val="24"/>
        </w:rPr>
        <w:t xml:space="preserve">, com fundamento no art. 74, [inciso(s)/dispositivo], </w:t>
      </w:r>
      <w:r>
        <w:rPr>
          <w:rFonts w:ascii="Calibri" w:hAnsi="Calibri"/>
          <w:b/>
          <w:i w:val="0"/>
          <w:color w:val="000000"/>
          <w:sz w:val="24"/>
        </w:rPr>
        <w:t>ou</w:t>
      </w:r>
      <w:r>
        <w:rPr>
          <w:rFonts w:ascii="Calibri" w:hAnsi="Calibri"/>
          <w:b w:val="0"/>
          <w:i w:val="0"/>
          <w:color w:val="000000"/>
          <w:sz w:val="24"/>
        </w:rPr>
        <w:t xml:space="preserve"> no art. 75, [inciso I | II], da Lei nº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14.133/2021, para o objeto e nas condições constantes do Termo de Referência e da proposta, no valor total de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 xml:space="preserve">R$ </w:t>
      </w:r>
      <w:r>
        <w:rPr>
          <w:rFonts w:ascii="Calibri" w:hAnsi="Calibri"/>
          <w:b/>
          <w:i w:val="0"/>
          <w:color w:val="C00000"/>
          <w:sz w:val="24"/>
        </w:rPr>
        <w:t>{{VALOR_TOTAL}}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Ratifico</w:t>
      </w:r>
      <w:r>
        <w:rPr>
          <w:rFonts w:ascii="Calibri" w:hAnsi="Calibri"/>
          <w:b w:val="0"/>
          <w:i w:val="0"/>
          <w:color w:val="000000"/>
          <w:sz w:val="24"/>
        </w:rPr>
        <w:t>, nos termos do art. 72, VIII, da Lei nº 14.133/2021, o presente ato, determinando: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(a) a </w:t>
      </w:r>
      <w:r>
        <w:rPr>
          <w:rFonts w:ascii="Calibri" w:hAnsi="Calibri"/>
          <w:b/>
          <w:i w:val="0"/>
          <w:color w:val="000000"/>
          <w:sz w:val="24"/>
        </w:rPr>
        <w:t>divulgação</w:t>
      </w:r>
      <w:r>
        <w:rPr>
          <w:rFonts w:ascii="Calibri" w:hAnsi="Calibri"/>
          <w:b w:val="0"/>
          <w:i w:val="0"/>
          <w:color w:val="000000"/>
          <w:sz w:val="24"/>
        </w:rPr>
        <w:t xml:space="preserve"> deste ato e, após a formalização, do extrato, no </w:t>
      </w:r>
      <w:r>
        <w:rPr>
          <w:rFonts w:ascii="Calibri" w:hAnsi="Calibri"/>
          <w:b/>
          <w:i w:val="0"/>
          <w:color w:val="000000"/>
          <w:sz w:val="24"/>
        </w:rPr>
        <w:t>sítio eletrônico oficial</w:t>
      </w:r>
      <w:r>
        <w:rPr>
          <w:rFonts w:ascii="Calibri" w:hAnsi="Calibri"/>
          <w:b w:val="0"/>
          <w:i w:val="0"/>
          <w:color w:val="000000"/>
          <w:sz w:val="24"/>
        </w:rPr>
        <w:t xml:space="preserve"> e no </w:t>
      </w:r>
      <w:r>
        <w:rPr>
          <w:rFonts w:ascii="Calibri" w:hAnsi="Calibri"/>
          <w:b/>
          <w:i w:val="0"/>
          <w:color w:val="000000"/>
          <w:sz w:val="24"/>
        </w:rPr>
        <w:t>PNCP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(Portaria 06/2024, art. 3º, § único);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(b) a </w:t>
      </w:r>
      <w:r>
        <w:rPr>
          <w:rFonts w:ascii="Calibri" w:hAnsi="Calibri"/>
          <w:b/>
          <w:i w:val="0"/>
          <w:color w:val="000000"/>
          <w:sz w:val="24"/>
        </w:rPr>
        <w:t>designação</w:t>
      </w:r>
      <w:r>
        <w:rPr>
          <w:rFonts w:ascii="Calibri" w:hAnsi="Calibri"/>
          <w:b w:val="0"/>
          <w:i w:val="0"/>
          <w:color w:val="000000"/>
          <w:sz w:val="24"/>
        </w:rPr>
        <w:t xml:space="preserve"> de gestor e fiscal do contrato (se for o caso), com termo de ciência nos autos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(Portaria 07/2024).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Itanhandu/MG, </w:t>
      </w:r>
      <w:r>
        <w:rPr>
          <w:rFonts w:ascii="Calibri" w:hAnsi="Calibri"/>
          <w:b w:val="0"/>
          <w:i w:val="0"/>
          <w:color w:val="C00000"/>
          <w:sz w:val="24"/>
        </w:rPr>
        <w:t>{{DATA}}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center"/>
      </w:pPr>
      <w:r>
        <w:rPr>
          <w:rFonts w:ascii="Calibri" w:hAnsi="Calibri"/>
          <w:b w:val="0"/>
          <w:i w:val="0"/>
          <w:color w:val="C00000"/>
          <w:sz w:val="24"/>
        </w:rPr>
        <w:t>_______________________________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{{NOME_PRESIDENTE}}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Presidente da Câmara Municipal de Itanhandu</w:t>
      </w:r>
    </w:p>
    <w:p>
      <w:pPr>
        <w:spacing w:before="0" w:after="0"/>
        <w:pBdr>
          <w:bottom w:val="single" w:sz="6" w:space="1" w:color="999999"/>
        </w:pBdr>
      </w:pP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Observação de uso:</w:t>
      </w:r>
      <w:r>
        <w:rPr>
          <w:rFonts w:ascii="Calibri" w:hAnsi="Calibri"/>
          <w:b w:val="0"/>
          <w:i w:val="0"/>
          <w:color w:val="000000"/>
          <w:sz w:val="24"/>
        </w:rPr>
        <w:t xml:space="preserve"> este despacho consolida em um único ato — base legal, parecer/checklist, enquadramento,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valor, publicidade, habilitação e dotação — o padrão de "despacho único publicável" observado no TCE-MG (DOC/2026).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Os blocos em itálico referem-se à </w:t>
      </w:r>
      <w:r>
        <w:rPr>
          <w:rFonts w:ascii="Calibri" w:hAnsi="Calibri"/>
          <w:b/>
          <w:i w:val="0"/>
          <w:color w:val="000000"/>
          <w:sz w:val="24"/>
        </w:rPr>
        <w:t>dispensa por valor</w:t>
      </w:r>
      <w:r>
        <w:rPr>
          <w:rFonts w:ascii="Calibri" w:hAnsi="Calibri"/>
          <w:b w:val="0"/>
          <w:i w:val="0"/>
          <w:color w:val="000000"/>
          <w:sz w:val="24"/>
        </w:rPr>
        <w:t>; eliminar os blocos não aplicáveis ao caso.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Fundamento: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art. 72, VIII, art. 74 e art. 75, I e II, da Lei 14.133/2021; Portaria 06/2024 (Câmara), arts. 2º,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3º e 19; Portaria 02/PRES./2024 (TCE-MG).</w:t>
      </w:r>
    </w:p>
    <w:sectPr w:rsidR="00FC693F" w:rsidRPr="0006063C" w:rsidSect="00034616">
      <w:pgSz w:w="11906" w:h="16838"/>
      <w:pgMar w:top="2398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  <w:jc w:val="both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Despacho Autorizativo/Ratificação de Contratação Direta</dc:title>
  <dc:subject>Câmara Municipal de Itanhandu — minuta em homologação (base TCE-MG)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