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TERMO DE REFERÊNCIA (SINÉTICO)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Processo Administrativo nº: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Unidade requisitante: </w:t>
      </w:r>
      <w:r>
        <w:rPr>
          <w:rFonts w:ascii="Calibri" w:hAnsi="Calibri"/>
          <w:b w:val="0"/>
          <w:i w:val="0"/>
          <w:color w:val="C00000"/>
          <w:sz w:val="24"/>
        </w:rPr>
        <w:t>{{UNIDADE_REQUISITANTE}}</w:t>
      </w:r>
    </w:p>
    <w:p>
      <w:pPr>
        <w:spacing w:before="0" w:after="120"/>
        <w:ind w:left="2268"/>
        <w:jc w:val="both"/>
      </w:pPr>
      <w:r>
        <w:rPr>
          <w:rFonts w:ascii="Calibri" w:hAnsi="Calibri"/>
          <w:b/>
          <w:i/>
          <w:color w:val="000000"/>
          <w:sz w:val="22"/>
        </w:rPr>
        <w:t>Classificação (marcar):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 xml:space="preserve">(  ) Contratação de </w:t>
      </w:r>
      <w:r>
        <w:rPr>
          <w:rFonts w:ascii="Calibri" w:hAnsi="Calibri"/>
          <w:b/>
          <w:i/>
          <w:color w:val="000000"/>
          <w:sz w:val="22"/>
        </w:rPr>
        <w:t>baixa complexidade</w:t>
      </w:r>
      <w:r>
        <w:rPr>
          <w:rFonts w:ascii="Calibri" w:hAnsi="Calibri"/>
          <w:b w:val="0"/>
          <w:i/>
          <w:color w:val="000000"/>
          <w:sz w:val="22"/>
        </w:rPr>
        <w:t xml:space="preserve"> — justificativa da simplificação: [PREENCHER: razões da baixa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complexidade do objeto — entrega imediata, produto padronizado, serviço de curta duração etc.]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 xml:space="preserve">(  ) Autorizado pelo Presidente da Câmara em </w:t>
      </w:r>
      <w:r>
        <w:rPr>
          <w:rFonts w:ascii="Calibri" w:hAnsi="Calibri"/>
          <w:b w:val="0"/>
          <w:i/>
          <w:color w:val="C00000"/>
          <w:sz w:val="22"/>
        </w:rPr>
        <w:t>{{DATA}}</w:t>
      </w:r>
      <w:r>
        <w:rPr>
          <w:rFonts w:ascii="Calibri" w:hAnsi="Calibri"/>
          <w:b w:val="0"/>
          <w:i/>
          <w:color w:val="000000"/>
          <w:sz w:val="22"/>
        </w:rPr>
        <w:t>, nos termos do art. 4º, § 1º, da Portaria 02/PRES./2024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(TCE-MG), aplicável como modelo de referência à Câmara.</w:t>
      </w:r>
    </w:p>
    <w:p>
      <w:pPr>
        <w:spacing w:before="0" w:after="120"/>
        <w:ind w:left="2268"/>
        <w:jc w:val="both"/>
      </w:pP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*Caso o objeto se enquadre nas hipóteses do art. 8º da Portaria 12/2024 (facultativo) ou do art. 9º (dispensado),*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*marcar a condição correspondente e fazer constar a justificativa que fundamenta a não elaboração (ou*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*simplificação) do ETP:*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I — Especificação do objeto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objeto, com quantitativo dos bens ou serviços.]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II — Justificativa da contratação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necessidade e alinhamento com a demanda/planejamento.]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III — Critérios de seleção do fornecedor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proposta mais vantajosa; forma de recebimento das propostas — aviso de contratação direta (Portaria 06/2024) etc.]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IV — Requisitos de habilitação e qualificação técnica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requisitos de habilitação e qualificação mínima exigidos pela Lei 14.133/2021, admitida a simplificação da Portaria 06/2024, art. 16.]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V — Vigência contratual (se for o caso)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prazo e condições de eventual prorrogação.]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VI — Condições de execução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prazo de entrega/prestação, local, manutenção/assistência técnica quando aplicável.]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VII — Obrigações da contratada e do contratante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principais obrigações de cada parte.]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VIII — Indicação do gestor e fiscal do contrato (se for o caso)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Gestor: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Fiscal: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 xml:space="preserve"> *(termos de designação nos autos — Portaria 07/2024)*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IX — Condições de pagamento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forma e prazo de pagamento.]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X — Sanções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sanções do art. 156 da Lei 14.133/2021 aplicáveis pela inexecução parcial ou total.]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Declaração de proteção de dados (LGPD):</w:t>
      </w:r>
      <w:r>
        <w:rPr>
          <w:rFonts w:ascii="Calibri" w:hAnsi="Calibri"/>
          <w:b w:val="0"/>
          <w:i w:val="0"/>
          <w:color w:val="000000"/>
          <w:sz w:val="24"/>
        </w:rPr>
        <w:t xml:space="preserve"> as partes observem as disposições da Lei nº 13.709/2018, devendo 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contratado tratar os dados pessoais a que tiver acesso exclusivamente para a execução do objeto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*(cláusula padronizada — Portaria 19/2024, art. 2º, I)*.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{{RESPONSAVEL_PLANEJAMENTO}}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Responsável pelo planejamento (art. 30 da Portaria 07/2024)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rol mínimo do art. 4º, § 1º, da Portaria 02/PRES./2024 (TCE-MG); Portaria 13/2024 (Câmara),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arts. 8º a 11; Portaria 12/2024 (Câmara), art. 8º.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Referência Sintético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