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240" w:lineRule="auto"/>
        <w:jc w:val="center"/>
      </w:pPr>
      <w:r>
        <w:rPr>
          <w:rFonts w:ascii="Calibri" w:hAnsi="Calibri"/>
          <w:b/>
          <w:i w:val="0"/>
          <w:color w:val="000000"/>
          <w:sz w:val="28"/>
        </w:rPr>
        <w:t>JUSTIFICATIVA DA NÃO PUBLICAÇÃO DO AVISO DE CONTRATAÇÃO DIRETA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000000"/>
          <w:sz w:val="24"/>
        </w:rPr>
        <w:t xml:space="preserve">Processo Administrativo nº: </w:t>
      </w:r>
      <w:r>
        <w:rPr>
          <w:rFonts w:ascii="Calibri" w:hAnsi="Calibri"/>
          <w:b w:val="0"/>
          <w:i w:val="0"/>
          <w:color w:val="C00000"/>
          <w:sz w:val="24"/>
        </w:rPr>
        <w:t>[PREENCHER]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000000"/>
          <w:sz w:val="24"/>
        </w:rPr>
        <w:t xml:space="preserve">Objeto: </w:t>
      </w:r>
      <w:r>
        <w:rPr>
          <w:rFonts w:ascii="Calibri" w:hAnsi="Calibri"/>
          <w:b w:val="0"/>
          <w:i w:val="0"/>
          <w:color w:val="C00000"/>
          <w:sz w:val="24"/>
        </w:rPr>
        <w:t>[PREENCHER]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000000"/>
          <w:sz w:val="24"/>
        </w:rPr>
        <w:t>Fundamento legal da contratação: art. 75, [inciso I | II], da Lei nº 14.133/2021</w:t>
      </w:r>
    </w:p>
    <w:p>
      <w:pPr>
        <w:spacing w:before="240" w:after="120" w:line="240" w:lineRule="auto"/>
        <w:jc w:val="left"/>
      </w:pPr>
      <w:r>
        <w:rPr>
          <w:rFonts w:ascii="Calibri" w:hAnsi="Calibri"/>
          <w:b/>
          <w:i w:val="0"/>
          <w:color w:val="000000"/>
          <w:sz w:val="24"/>
        </w:rPr>
        <w:t>1. Regra geral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000000"/>
          <w:sz w:val="24"/>
        </w:rPr>
        <w:t xml:space="preserve">O aviso de contratação direta é </w:t>
      </w:r>
      <w:r>
        <w:rPr>
          <w:rFonts w:ascii="Calibri" w:hAnsi="Calibri"/>
          <w:b/>
          <w:i w:val="0"/>
          <w:color w:val="000000"/>
          <w:sz w:val="24"/>
        </w:rPr>
        <w:t>regra preferencial</w:t>
      </w:r>
      <w:r>
        <w:rPr>
          <w:rFonts w:ascii="Calibri" w:hAnsi="Calibri"/>
          <w:b w:val="0"/>
          <w:i w:val="0"/>
          <w:color w:val="000000"/>
          <w:sz w:val="24"/>
        </w:rPr>
        <w:t xml:space="preserve"> na Câmara (Portaria 06/2024, art. 2º), com prazo mínimo de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000000"/>
          <w:sz w:val="24"/>
        </w:rPr>
        <w:t xml:space="preserve">3 (três) dias úteis. Neste caso, </w:t>
      </w:r>
      <w:r>
        <w:rPr>
          <w:rFonts w:ascii="Calibri" w:hAnsi="Calibri"/>
          <w:b/>
          <w:i w:val="0"/>
          <w:color w:val="000000"/>
          <w:sz w:val="24"/>
        </w:rPr>
        <w:t>deixou-se de publicá-lo</w:t>
      </w:r>
      <w:r>
        <w:rPr>
          <w:rFonts w:ascii="Calibri" w:hAnsi="Calibri"/>
          <w:b w:val="0"/>
          <w:i w:val="0"/>
          <w:color w:val="000000"/>
          <w:sz w:val="24"/>
        </w:rPr>
        <w:t xml:space="preserve"> pelas razões a seguir.</w:t>
      </w:r>
    </w:p>
    <w:p>
      <w:pPr>
        <w:spacing w:before="240" w:after="120" w:line="240" w:lineRule="auto"/>
        <w:jc w:val="left"/>
      </w:pPr>
      <w:r>
        <w:rPr>
          <w:rFonts w:ascii="Calibri" w:hAnsi="Calibri"/>
          <w:b/>
          <w:i w:val="0"/>
          <w:color w:val="000000"/>
          <w:sz w:val="24"/>
        </w:rPr>
        <w:t>2. Motivo da não publicação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000000"/>
          <w:sz w:val="24"/>
        </w:rPr>
        <w:t xml:space="preserve">(  ) </w:t>
      </w:r>
      <w:r>
        <w:rPr>
          <w:rFonts w:ascii="Calibri" w:hAnsi="Calibri"/>
          <w:b/>
          <w:i w:val="0"/>
          <w:color w:val="000000"/>
          <w:sz w:val="24"/>
        </w:rPr>
        <w:t>Inviabilidade de competição</w:t>
      </w:r>
      <w:r>
        <w:rPr>
          <w:rFonts w:ascii="Calibri" w:hAnsi="Calibri"/>
          <w:b w:val="0"/>
          <w:i w:val="0"/>
          <w:color w:val="000000"/>
          <w:sz w:val="24"/>
        </w:rPr>
        <w:t xml:space="preserve"> — a contratação ocorre por inexigibilidade (art. 74 da Lei 14.133/2021),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000000"/>
          <w:sz w:val="24"/>
        </w:rPr>
        <w:t xml:space="preserve">sendo o aviso dispensável pela natureza do objeto. Justificativa da inviabilidade de competição: </w:t>
      </w:r>
      <w:r>
        <w:rPr>
          <w:rFonts w:ascii="Calibri" w:hAnsi="Calibri"/>
          <w:b w:val="0"/>
          <w:i w:val="0"/>
          <w:color w:val="C00000"/>
          <w:sz w:val="24"/>
        </w:rPr>
        <w:t>[PREENCHER]</w:t>
      </w:r>
      <w:r>
        <w:rPr>
          <w:rFonts w:ascii="Calibri" w:hAnsi="Calibri"/>
          <w:b w:val="0"/>
          <w:i w:val="0"/>
          <w:color w:val="000000"/>
          <w:sz w:val="24"/>
        </w:rPr>
        <w:t>.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000000"/>
          <w:sz w:val="24"/>
        </w:rPr>
        <w:t xml:space="preserve">(  ) </w:t>
      </w:r>
      <w:r>
        <w:rPr>
          <w:rFonts w:ascii="Calibri" w:hAnsi="Calibri"/>
          <w:b/>
          <w:i w:val="0"/>
          <w:color w:val="000000"/>
          <w:sz w:val="24"/>
        </w:rPr>
        <w:t>Urgência/inviabilidade prática</w:t>
      </w:r>
      <w:r>
        <w:rPr>
          <w:rFonts w:ascii="Calibri" w:hAnsi="Calibri"/>
          <w:b w:val="0"/>
          <w:i w:val="0"/>
          <w:color w:val="000000"/>
          <w:sz w:val="24"/>
        </w:rPr>
        <w:t xml:space="preserve"> — </w:t>
      </w:r>
      <w:r>
        <w:rPr>
          <w:rFonts w:ascii="Calibri" w:hAnsi="Calibri"/>
          <w:b w:val="0"/>
          <w:i w:val="0"/>
          <w:color w:val="C00000"/>
          <w:sz w:val="24"/>
        </w:rPr>
        <w:t>[PREENCHER: descrever a situação concreta e o ônus de aguardar 3 dias úteis]</w:t>
      </w:r>
      <w:r>
        <w:rPr>
          <w:rFonts w:ascii="Calibri" w:hAnsi="Calibri"/>
          <w:b w:val="0"/>
          <w:i w:val="0"/>
          <w:color w:val="000000"/>
          <w:sz w:val="24"/>
        </w:rPr>
        <w:t>.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000000"/>
          <w:sz w:val="24"/>
        </w:rPr>
        <w:t xml:space="preserve">(  ) </w:t>
      </w:r>
      <w:r>
        <w:rPr>
          <w:rFonts w:ascii="Calibri" w:hAnsi="Calibri"/>
          <w:b/>
          <w:i w:val="0"/>
          <w:color w:val="000000"/>
          <w:sz w:val="24"/>
        </w:rPr>
        <w:t>Baixo valor / economicidade</w:t>
      </w:r>
      <w:r>
        <w:rPr>
          <w:rFonts w:ascii="Calibri" w:hAnsi="Calibri"/>
          <w:b w:val="0"/>
          <w:i w:val="0"/>
          <w:color w:val="000000"/>
          <w:sz w:val="24"/>
        </w:rPr>
        <w:t xml:space="preserve"> — o custo de transação da publicidade é desproporcional ao valor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000000"/>
          <w:sz w:val="24"/>
        </w:rPr>
        <w:t xml:space="preserve">(escopo pequeno): valor R$ </w:t>
      </w:r>
      <w:r>
        <w:rPr>
          <w:rFonts w:ascii="Calibri" w:hAnsi="Calibri"/>
          <w:b w:val="0"/>
          <w:i w:val="0"/>
          <w:color w:val="C00000"/>
          <w:sz w:val="24"/>
        </w:rPr>
        <w:t>{{VALOR}}</w:t>
      </w:r>
      <w:r>
        <w:rPr>
          <w:rFonts w:ascii="Calibri" w:hAnsi="Calibri"/>
          <w:b w:val="0"/>
          <w:i w:val="0"/>
          <w:color w:val="000000"/>
          <w:sz w:val="24"/>
        </w:rPr>
        <w:t xml:space="preserve">, limite de R$ </w:t>
      </w:r>
      <w:r>
        <w:rPr>
          <w:rFonts w:ascii="Calibri" w:hAnsi="Calibri"/>
          <w:b w:val="0"/>
          <w:i w:val="0"/>
          <w:color w:val="C00000"/>
          <w:sz w:val="24"/>
        </w:rPr>
        <w:t>{{LIMITE}}</w:t>
      </w:r>
      <w:r>
        <w:rPr>
          <w:rFonts w:ascii="Calibri" w:hAnsi="Calibri"/>
          <w:b w:val="0"/>
          <w:i w:val="0"/>
          <w:color w:val="000000"/>
          <w:sz w:val="24"/>
        </w:rPr>
        <w:t>.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000000"/>
          <w:sz w:val="24"/>
        </w:rPr>
        <w:t xml:space="preserve">(  ) </w:t>
      </w:r>
      <w:r>
        <w:rPr>
          <w:rFonts w:ascii="Calibri" w:hAnsi="Calibri"/>
          <w:b/>
          <w:i w:val="0"/>
          <w:color w:val="000000"/>
          <w:sz w:val="24"/>
        </w:rPr>
        <w:t>Outro:</w:t>
      </w:r>
      <w:r>
        <w:rPr>
          <w:rFonts w:ascii="Calibri" w:hAnsi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/>
          <w:b w:val="0"/>
          <w:i w:val="0"/>
          <w:color w:val="C00000"/>
          <w:sz w:val="24"/>
        </w:rPr>
        <w:t>[PREENCHER]</w:t>
      </w:r>
      <w:r>
        <w:rPr>
          <w:rFonts w:ascii="Calibri" w:hAnsi="Calibri"/>
          <w:b w:val="0"/>
          <w:i w:val="0"/>
          <w:color w:val="000000"/>
          <w:sz w:val="24"/>
        </w:rPr>
        <w:t>.</w:t>
      </w:r>
    </w:p>
    <w:p>
      <w:pPr>
        <w:spacing w:before="240" w:after="120" w:line="240" w:lineRule="auto"/>
        <w:jc w:val="left"/>
      </w:pPr>
      <w:r>
        <w:rPr>
          <w:rFonts w:ascii="Calibri" w:hAnsi="Calibri"/>
          <w:b/>
          <w:i w:val="0"/>
          <w:color w:val="000000"/>
          <w:sz w:val="24"/>
        </w:rPr>
        <w:t>3. Medidas alternativas adotadas (espírito do art. 5º, § único, da Portaria 02/PRES./2024 — TCE-MG)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000000"/>
          <w:sz w:val="24"/>
        </w:rPr>
        <w:t>Mesmo sem aviso, foi envidado esforço para obter propostas adicionais de possíveis interessados: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000000"/>
          <w:sz w:val="24"/>
        </w:rPr>
        <w:t>(  ) consulta formal a, no mínimo, 3 (três) fornecedores (Portaria 03/2024, art. 4º, IV), com registro das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000000"/>
          <w:sz w:val="24"/>
        </w:rPr>
        <w:t>cotações nos autos;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000000"/>
          <w:sz w:val="24"/>
        </w:rPr>
        <w:t>(  ) pesquisa nas fontes externas (Painel de Preços, contratações similares, PNCP) documentada nos autos;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000000"/>
          <w:sz w:val="24"/>
        </w:rPr>
        <w:t xml:space="preserve">(  ) outra: </w:t>
      </w:r>
      <w:r>
        <w:rPr>
          <w:rFonts w:ascii="Calibri" w:hAnsi="Calibri"/>
          <w:b w:val="0"/>
          <w:i w:val="0"/>
          <w:color w:val="C00000"/>
          <w:sz w:val="24"/>
        </w:rPr>
        <w:t>[PREENCHER]</w:t>
      </w:r>
      <w:r>
        <w:rPr>
          <w:rFonts w:ascii="Calibri" w:hAnsi="Calibri"/>
          <w:b w:val="0"/>
          <w:i w:val="0"/>
          <w:color w:val="000000"/>
          <w:sz w:val="24"/>
        </w:rPr>
        <w:t>.</w:t>
      </w:r>
    </w:p>
    <w:p>
      <w:pPr>
        <w:spacing w:before="240" w:after="120" w:line="240" w:lineRule="auto"/>
        <w:jc w:val="left"/>
      </w:pPr>
      <w:r>
        <w:rPr>
          <w:rFonts w:ascii="Calibri" w:hAnsi="Calibri"/>
          <w:b/>
          <w:i w:val="0"/>
          <w:color w:val="000000"/>
          <w:sz w:val="24"/>
        </w:rPr>
        <w:t>4. Seleção da proposta mais vantajosa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000000"/>
          <w:sz w:val="24"/>
        </w:rPr>
        <w:t>A proposta selecionada foi a mais vantajosa entre as obtidas (maior desconto/menor preço), conforme registro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000000"/>
          <w:sz w:val="24"/>
        </w:rPr>
        <w:t xml:space="preserve">nos autos </w:t>
      </w:r>
      <w:r>
        <w:rPr>
          <w:rFonts w:ascii="Calibri" w:hAnsi="Calibri"/>
          <w:b w:val="0"/>
          <w:i w:val="0"/>
          <w:color w:val="C00000"/>
          <w:sz w:val="24"/>
        </w:rPr>
        <w:t>[PREENCHER: doc.]</w:t>
      </w:r>
      <w:r>
        <w:rPr>
          <w:rFonts w:ascii="Calibri" w:hAnsi="Calibri"/>
          <w:b w:val="0"/>
          <w:i w:val="0"/>
          <w:color w:val="000000"/>
          <w:sz w:val="24"/>
        </w:rPr>
        <w:t>.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000000"/>
          <w:sz w:val="24"/>
        </w:rPr>
        <w:t xml:space="preserve">Itanhandu/MG, </w:t>
      </w:r>
      <w:r>
        <w:rPr>
          <w:rFonts w:ascii="Calibri" w:hAnsi="Calibri"/>
          <w:b w:val="0"/>
          <w:i w:val="0"/>
          <w:color w:val="C00000"/>
          <w:sz w:val="24"/>
        </w:rPr>
        <w:t>{{DATA}}</w:t>
      </w:r>
      <w:r>
        <w:rPr>
          <w:rFonts w:ascii="Calibri" w:hAnsi="Calibri"/>
          <w:b w:val="0"/>
          <w:i w:val="0"/>
          <w:color w:val="000000"/>
          <w:sz w:val="24"/>
        </w:rPr>
        <w:t>.</w:t>
      </w:r>
    </w:p>
    <w:p>
      <w:pPr>
        <w:spacing w:lineRule="auto" w:line="360" w:before="0" w:after="120"/>
        <w:jc w:val="center"/>
      </w:pPr>
      <w:r>
        <w:rPr>
          <w:rFonts w:ascii="Calibri" w:hAnsi="Calibri"/>
          <w:b w:val="0"/>
          <w:i w:val="0"/>
          <w:color w:val="C00000"/>
          <w:sz w:val="24"/>
        </w:rPr>
        <w:t>_______________________________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C00000"/>
          <w:sz w:val="24"/>
        </w:rPr>
        <w:t>{{AGENTE_DE_CONTRATACAO}}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000000"/>
          <w:sz w:val="24"/>
        </w:rPr>
        <w:t>Agente de contratação</w:t>
      </w:r>
    </w:p>
    <w:p>
      <w:pPr>
        <w:spacing w:lineRule="auto" w:line="360" w:before="0" w:after="120"/>
        <w:jc w:val="center"/>
      </w:pPr>
      <w:r>
        <w:rPr>
          <w:rFonts w:ascii="Calibri" w:hAnsi="Calibri"/>
          <w:b w:val="0"/>
          <w:i w:val="0"/>
          <w:color w:val="C00000"/>
          <w:sz w:val="24"/>
        </w:rPr>
        <w:t>_______________________________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C00000"/>
          <w:sz w:val="24"/>
        </w:rPr>
        <w:t>{{RESPONSAVEL_INSTRUCAO}}</w:t>
      </w:r>
    </w:p>
    <w:p>
      <w:pPr>
        <w:spacing w:before="0" w:after="0"/>
        <w:pBdr>
          <w:bottom w:val="single" w:sz="6" w:space="1" w:color="999999"/>
        </w:pBdr>
      </w:pPr>
    </w:p>
    <w:p>
      <w:pPr>
        <w:spacing w:lineRule="auto" w:line="360" w:before="0" w:after="120"/>
        <w:jc w:val="both"/>
      </w:pPr>
      <w:r>
        <w:rPr>
          <w:rFonts w:ascii="Calibri" w:hAnsi="Calibri"/>
          <w:b/>
          <w:i w:val="0"/>
          <w:color w:val="000000"/>
          <w:sz w:val="24"/>
        </w:rPr>
        <w:t>Fundamento:</w:t>
      </w:r>
      <w:r>
        <w:rPr>
          <w:rFonts w:ascii="Calibri" w:hAnsi="Calibri"/>
          <w:b w:val="0"/>
          <w:i w:val="0"/>
          <w:color w:val="000000"/>
          <w:sz w:val="24"/>
        </w:rPr>
        <w:t xml:space="preserve"> art. 75, § 3º, da Lei 14.133/2021; Portaria 06/2024 (Câmara), art. 2º; Portaria 02/PRES./2024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000000"/>
          <w:sz w:val="24"/>
        </w:rPr>
        <w:t>(TCE-MG), art. 5º, § único.</w:t>
      </w:r>
    </w:p>
    <w:sectPr w:rsidR="00FC693F" w:rsidRPr="0006063C" w:rsidSect="00034616">
      <w:pgSz w:w="11906" w:h="16838"/>
      <w:pgMar w:top="2398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 w:before="0" w:after="120"/>
      <w:jc w:val="both"/>
    </w:pPr>
    <w:rPr>
      <w:rFonts w:ascii="Calibri" w:hAnsi="Calibri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Justificativa de Não Publicação do Aviso</dc:title>
  <dc:subject>Câmara Municipal de Itanhandu — minuta em homologação (base TCE-MG)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