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40" w:lineRule="auto"/>
        <w:jc w:val="center"/>
      </w:pPr>
      <w:r>
        <w:rPr>
          <w:rFonts w:ascii="Calibri" w:hAnsi="Calibri"/>
          <w:b/>
          <w:i w:val="0"/>
          <w:color w:val="000000"/>
          <w:sz w:val="28"/>
        </w:rPr>
        <w:t>AVISO DE INTENÇÃO DE ADESÃO A ATA DE REGISTRO DE PREÇOS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CÂMARA MUNICIPAL DE ITANHANDU — ESTADO DE MINAS GERAIS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A Câmara Municipal de Itanhandu comunica que </w:t>
      </w:r>
      <w:r>
        <w:rPr>
          <w:rFonts w:ascii="Calibri" w:hAnsi="Calibri"/>
          <w:b/>
          <w:i w:val="0"/>
          <w:color w:val="000000"/>
          <w:sz w:val="24"/>
        </w:rPr>
        <w:t>pretende aderir</w:t>
      </w:r>
      <w:r>
        <w:rPr>
          <w:rFonts w:ascii="Calibri" w:hAnsi="Calibri"/>
          <w:b w:val="0"/>
          <w:i w:val="0"/>
          <w:color w:val="000000"/>
          <w:sz w:val="24"/>
        </w:rPr>
        <w:t>, na condição de órgão/não participante, à ata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de registro de preços abaixo identificada, nos termos da Portaria 17/2024 da Câmara e do art. 86 da Lei nº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14.133/2021: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Campo</w:t>
            </w:r>
          </w:p>
        </w:tc>
        <w:tc>
          <w:tcPr>
            <w:tcW w:type="dxa" w:w="4535"/>
            <w:shd w:val="clear" w:color="auto" w:fill="D9D9D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Informação</w:t>
            </w:r>
          </w:p>
        </w:tc>
      </w:tr>
      <w:tr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Ata de origem (nº/ano)</w:t>
            </w:r>
          </w:p>
        </w:tc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C00000"/>
                <w:sz w:val="22"/>
              </w:rPr>
              <w:t>{{NUMERO_ATA}}</w:t>
            </w:r>
          </w:p>
        </w:tc>
      </w:tr>
      <w:tr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Órgão/entidade gerenciador(a)</w:t>
            </w:r>
          </w:p>
        </w:tc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C00000"/>
                <w:sz w:val="22"/>
              </w:rPr>
              <w:t>{{ORGAO_GERENCIADOR}}</w:t>
            </w:r>
          </w:p>
        </w:tc>
      </w:tr>
      <w:tr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Procedimento licitatório de origem</w:t>
            </w:r>
          </w:p>
        </w:tc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C00000"/>
                <w:sz w:val="22"/>
              </w:rPr>
              <w:t>[PREENCHER: nº do processo no órgão gerenciador]</w:t>
            </w:r>
          </w:p>
        </w:tc>
      </w:tr>
      <w:tr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Objeto</w:t>
            </w:r>
          </w:p>
        </w:tc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C00000"/>
                <w:sz w:val="22"/>
              </w:rPr>
              <w:t>{{OBJETO}}</w:t>
            </w:r>
          </w:p>
        </w:tc>
      </w:tr>
      <w:tr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Quantitativo pretendido</w:t>
            </w:r>
          </w:p>
        </w:tc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C00000"/>
                <w:sz w:val="22"/>
              </w:rPr>
              <w:t>[PREENCHER]</w:t>
            </w:r>
          </w:p>
        </w:tc>
      </w:tr>
      <w:tr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Valor estimado da adesão</w:t>
            </w:r>
          </w:p>
        </w:tc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 xml:space="preserve">R$ </w:t>
            </w:r>
            <w:r>
              <w:rPr>
                <w:rFonts w:ascii="Calibri" w:hAnsi="Calibri"/>
                <w:b w:val="0"/>
                <w:i w:val="0"/>
                <w:color w:val="C00000"/>
                <w:sz w:val="22"/>
              </w:rPr>
              <w:t>[PREENCHER]</w:t>
            </w:r>
          </w:p>
        </w:tc>
      </w:tr>
      <w:tr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2"/>
              </w:rPr>
              <w:t>Vigência da ata</w:t>
            </w:r>
          </w:p>
        </w:tc>
        <w:tc>
          <w:tcPr>
            <w:tcW w:type="dxa" w:w="4535"/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C00000"/>
                <w:sz w:val="22"/>
              </w:rPr>
              <w:t>{{VIGENCIA_ATA}}</w:t>
            </w:r>
          </w:p>
        </w:tc>
      </w:tr>
    </w:tbl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Justificativa da vantagem da adesão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[PREENCHER: justificativa da vantagem da adesão, inclusive (quando aplicável) em situação de provável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desabastecimento ou descontinuidade de serviço público — art. 86, § 2º, da Lei 14.133/2021; e demonstração da</w:t>
      </w: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compatibilidade dos valores registrados com o mercado</w:t>
      </w:r>
      <w:r>
        <w:rPr>
          <w:rFonts w:ascii="Calibri" w:hAnsi="Calibri"/>
          <w:b w:val="0"/>
          <w:i w:val="0"/>
          <w:color w:val="000000"/>
          <w:sz w:val="24"/>
        </w:rPr>
        <w:t>.]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Manifestação da Câmara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(  ) A adesão observará os </w:t>
      </w:r>
      <w:r>
        <w:rPr>
          <w:rFonts w:ascii="Calibri" w:hAnsi="Calibri"/>
          <w:b/>
          <w:i w:val="0"/>
          <w:color w:val="000000"/>
          <w:sz w:val="24"/>
        </w:rPr>
        <w:t>limites quantitativos</w:t>
      </w:r>
      <w:r>
        <w:rPr>
          <w:rFonts w:ascii="Calibri" w:hAnsi="Calibri"/>
          <w:b w:val="0"/>
          <w:i w:val="0"/>
          <w:color w:val="000000"/>
          <w:sz w:val="24"/>
        </w:rPr>
        <w:t xml:space="preserve"> do art. 86, §§ 4º e 5º, da Lei 14.133/2021 (até 50% do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quantitativo de cada item registrado e até o dobro do quantitativo total da ata, observadas as regras do edital).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(  ) A </w:t>
      </w:r>
      <w:r>
        <w:rPr>
          <w:rFonts w:ascii="Calibri" w:hAnsi="Calibri"/>
          <w:b/>
          <w:i w:val="0"/>
          <w:color w:val="000000"/>
          <w:sz w:val="24"/>
        </w:rPr>
        <w:t>aceitação da adesão pelo fornecedor detentor da ata</w:t>
      </w:r>
      <w:r>
        <w:rPr>
          <w:rFonts w:ascii="Calibri" w:hAnsi="Calibri"/>
          <w:b w:val="0"/>
          <w:i w:val="0"/>
          <w:color w:val="000000"/>
          <w:sz w:val="24"/>
        </w:rPr>
        <w:t xml:space="preserve"> será formalizada antes da assinatura do termo.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Vedação de "carona" recíproca (orientação)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Na esteira da vedação adotada pelo TCE-MG (Portaria 43/PRES./2024, art. 26, § 1º — vedada a adesão a ata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gerenciada por órgãos/entidades municipais sujeitos à fiscalização do TCE-MG), a Câmara **evitará aderir a atas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de municípios/órgãos sob o mesmo controle** e priorizará atas de órgãos gerenciadores de maior porte, registrando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a justificativa da escolha da ata.</w:t>
      </w:r>
    </w:p>
    <w:p>
      <w:pPr>
        <w:spacing w:before="240" w:after="120" w:line="240" w:lineRule="auto"/>
        <w:jc w:val="left"/>
      </w:pPr>
      <w:r>
        <w:rPr>
          <w:rFonts w:ascii="Calibri" w:hAnsi="Calibri"/>
          <w:b/>
          <w:i w:val="0"/>
          <w:color w:val="000000"/>
          <w:sz w:val="24"/>
        </w:rPr>
        <w:t>Prazo e contato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Manifestações de interesse dos fornecedores detentores da ata e demais esclarecimentos devem ser encaminhados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até </w:t>
      </w:r>
      <w:r>
        <w:rPr>
          <w:rFonts w:ascii="Calibri" w:hAnsi="Calibri"/>
          <w:b w:val="0"/>
          <w:i w:val="0"/>
          <w:color w:val="C00000"/>
          <w:sz w:val="24"/>
        </w:rPr>
        <w:t>{{DATA_PRAZO}}</w:t>
      </w:r>
      <w:r>
        <w:rPr>
          <w:rFonts w:ascii="Calibri" w:hAnsi="Calibri"/>
          <w:b w:val="0"/>
          <w:i w:val="0"/>
          <w:color w:val="000000"/>
          <w:sz w:val="24"/>
        </w:rPr>
        <w:t xml:space="preserve"> para </w:t>
      </w:r>
      <w:r>
        <w:rPr>
          <w:rFonts w:ascii="Calibri" w:hAnsi="Calibri"/>
          <w:b w:val="0"/>
          <w:i w:val="0"/>
          <w:color w:val="C00000"/>
          <w:sz w:val="24"/>
        </w:rPr>
        <w:t>{{EMAIL}}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 xml:space="preserve">Itanhandu/MG, </w:t>
      </w:r>
      <w:r>
        <w:rPr>
          <w:rFonts w:ascii="Calibri" w:hAnsi="Calibri"/>
          <w:b w:val="0"/>
          <w:i w:val="0"/>
          <w:color w:val="C00000"/>
          <w:sz w:val="24"/>
        </w:rPr>
        <w:t>{{DATA}}</w:t>
      </w:r>
      <w:r>
        <w:rPr>
          <w:rFonts w:ascii="Calibri" w:hAnsi="Calibri"/>
          <w:b w:val="0"/>
          <w:i w:val="0"/>
          <w:color w:val="000000"/>
          <w:sz w:val="24"/>
        </w:rPr>
        <w:t>.</w:t>
      </w:r>
    </w:p>
    <w:p>
      <w:pPr>
        <w:spacing w:lineRule="auto" w:line="360" w:before="0" w:after="120"/>
        <w:jc w:val="center"/>
      </w:pPr>
      <w:r>
        <w:rPr>
          <w:rFonts w:ascii="Calibri" w:hAnsi="Calibri"/>
          <w:b w:val="0"/>
          <w:i w:val="0"/>
          <w:color w:val="C00000"/>
          <w:sz w:val="24"/>
        </w:rPr>
        <w:t>_______________________________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C00000"/>
          <w:sz w:val="24"/>
        </w:rPr>
        <w:t>{{AGENTE_DE_CONTRATACAO}}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Agente de contratação</w:t>
      </w:r>
    </w:p>
    <w:p>
      <w:pPr>
        <w:spacing w:before="0" w:after="0"/>
        <w:pBdr>
          <w:bottom w:val="single" w:sz="6" w:space="1" w:color="999999"/>
        </w:pBdr>
      </w:pPr>
    </w:p>
    <w:p>
      <w:pPr>
        <w:spacing w:lineRule="auto" w:line="360" w:before="0" w:after="120"/>
        <w:jc w:val="both"/>
      </w:pPr>
      <w:r>
        <w:rPr>
          <w:rFonts w:ascii="Calibri" w:hAnsi="Calibri"/>
          <w:b/>
          <w:i w:val="0"/>
          <w:color w:val="000000"/>
          <w:sz w:val="24"/>
        </w:rPr>
        <w:t>Fundamento:</w:t>
      </w:r>
      <w:r>
        <w:rPr>
          <w:rFonts w:ascii="Calibri" w:hAnsi="Calibri"/>
          <w:b w:val="0"/>
          <w:i w:val="0"/>
          <w:color w:val="000000"/>
          <w:sz w:val="24"/>
        </w:rPr>
        <w:t xml:space="preserve"> art. 86 da Lei 14.133/2021; Portaria 17/2024 (Câmara), art. 7º, § 3º; padrão de aviso de adesão</w:t>
      </w:r>
    </w:p>
    <w:p>
      <w:pPr>
        <w:spacing w:lineRule="auto" w:line="360" w:before="0" w:after="120"/>
        <w:jc w:val="both"/>
      </w:pPr>
      <w:r>
        <w:rPr>
          <w:rFonts w:ascii="Calibri" w:hAnsi="Calibri"/>
          <w:b w:val="0"/>
          <w:i w:val="0"/>
          <w:color w:val="000000"/>
          <w:sz w:val="24"/>
        </w:rPr>
        <w:t>observado no DOC/2026 (TCE-MG); Portaria 43/PRES./2024 (TCE-MG), arts. 24 e 26.</w:t>
      </w:r>
    </w:p>
    <w:sectPr w:rsidR="00FC693F" w:rsidRPr="0006063C" w:rsidSect="00034616">
      <w:pgSz w:w="11906" w:h="16838"/>
      <w:pgMar w:top="2398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120"/>
      <w:jc w:val="both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Aviso de Intenção de Adesão a Ata de Registro de Preços</dc:title>
  <dc:subject>Câmara Municipal de Itanhandu — minuta em homologação (base TCE-MG)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