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urn: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microsoft.com/office/comments/2020/reaction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>
          <w:b/>
        </w:rPr>
        <w:t xml:space="preserve">Amazon Returns &amp; SAFE-T — fluxo cronológico e regras definitivas</w:t>
      </w:r>
    </w:p>
    <w:p>
      <w:pPr>
        <w:pStyle w:val="Subtitle"/>
      </w:pPr>
      <w:r>
        <w:rPr/>
        <w:t xml:space="preserve">Escopo operacional para conferência do fluxo SAFE-T com base na data do reembolso ao cliente.</w:t>
      </w:r>
    </w:p>
    <w:p>
      <w:pPr>
        <w:pStyle w:val="Heading1"/>
      </w:pPr>
      <w:r>
        <w:rPr>
          <w:b/>
        </w:rPr>
        <w:t xml:space="preserve">Base de referência</w:t>
      </w:r>
    </w:p>
    <w:p>
      <w:r>
        <w:rPr/>
        <w:t xml:space="preserve">A referência temporal do fluxo é sempre a data do reembolso ao cliente. A data de postagem/devolução informada pelo cliente não entra em nenhuma etapa do cálculo.</w:t>
      </w:r>
    </w:p>
    <w:p>
      <w:pPr>
        <w:pStyle w:val="Heading1"/>
      </w:pPr>
      <w:r>
        <w:rPr>
          <w:b/>
        </w:rPr>
        <w:t xml:space="preserve">Linha cronológica do fluxo</w:t>
      </w:r>
    </w:p>
    <w:p>
      <w:pPr>
        <w:pStyle w:val="ListParagraph"/>
        <w:numPr>
          <w:ilvl w:val="0"/>
          <w:numId w:val="1"/>
        </w:numPr>
      </w:pPr>
      <w:r>
        <w:t xml:space="preserve">Dia 0: data do reembolso ao cliente; o acompanhamento passa a usar esse marco.</w:t>
      </w:r>
    </w:p>
    <w:p>
      <w:pPr>
        <w:pStyle w:val="ListParagraph"/>
        <w:numPr>
          <w:ilvl w:val="0"/>
          <w:numId w:val="1"/>
        </w:numPr>
      </w:pPr>
      <w:r>
        <w:t xml:space="preserve">Antes de 45 dias: o caso permanece em monitoramento; ainda não abre SAFE-T.</w:t>
      </w:r>
    </w:p>
    <w:p>
      <w:pPr>
        <w:pStyle w:val="ListParagraph"/>
        <w:numPr>
          <w:ilvl w:val="0"/>
          <w:numId w:val="1"/>
        </w:numPr>
      </w:pPr>
      <w:r>
        <w:t xml:space="preserve">Dia 45: se a Amazon já reembolsou o cliente e a mercadoria física não retornou, o caso fica elegível para abertura de SAFE-T.</w:t>
      </w:r>
    </w:p>
    <w:p>
      <w:pPr>
        <w:pStyle w:val="ListParagraph"/>
        <w:numPr>
          <w:ilvl w:val="0"/>
          <w:numId w:val="1"/>
        </w:numPr>
      </w:pPr>
      <w:r>
        <w:t xml:space="preserve">Se a mercadoria física chegou, o fluxo de non-return SAFE-T é bloqueado.</w:t>
      </w:r>
    </w:p>
    <w:p>
      <w:pPr>
        <w:pStyle w:val="ListParagraph"/>
        <w:numPr>
          <w:ilvl w:val="0"/>
          <w:numId w:val="1"/>
        </w:numPr>
      </w:pPr>
      <w:r>
        <w:t xml:space="preserve">Abertura do SAFE-T: o app gera a tentativa, registra SAFE-T ID, data, motivo, evidências e estado do caso.</w:t>
      </w:r>
    </w:p>
    <w:p>
      <w:pPr>
        <w:pStyle w:val="ListParagraph"/>
        <w:numPr>
          <w:ilvl w:val="0"/>
          <w:numId w:val="1"/>
        </w:numPr>
      </w:pPr>
      <w:r>
        <w:t xml:space="preserve">SAFE-T aberto: o app acompanha o estado da reivindicação até decisão ou nova ação necessária.</w:t>
      </w:r>
    </w:p>
    <w:p>
      <w:pPr>
        <w:pStyle w:val="ListParagraph"/>
        <w:numPr>
          <w:ilvl w:val="0"/>
          <w:numId w:val="1"/>
        </w:numPr>
      </w:pPr>
      <w:r>
        <w:t xml:space="preserve">Se a Amazon pedir informação: o app responde somente no canal habilitado.</w:t>
      </w:r>
    </w:p>
    <w:p>
      <w:pPr>
        <w:pStyle w:val="ListParagraph"/>
        <w:numPr>
          <w:ilvl w:val="0"/>
          <w:numId w:val="1"/>
        </w:numPr>
      </w:pPr>
      <w:r>
        <w:t xml:space="preserve">Se o SAFE-T for negado: o fluxo segue para recurso no Seller Central quando esse caminho estiver disponível.</w:t>
      </w:r>
    </w:p>
    <w:p>
      <w:pPr>
        <w:pStyle w:val="ListParagraph"/>
        <w:numPr>
          <w:ilvl w:val="0"/>
          <w:numId w:val="1"/>
        </w:numPr>
      </w:pPr>
      <w:r>
        <w:t xml:space="preserve">Se o recurso for negado: o fluxo segue para revisão detalhada por e-mail, quando essa etapa for o caminho correto do caso.</w:t>
      </w:r>
    </w:p>
    <w:p>
      <w:pPr>
        <w:pStyle w:val="ListParagraph"/>
        <w:numPr>
          <w:ilvl w:val="0"/>
          <w:numId w:val="1"/>
        </w:numPr>
      </w:pPr>
      <w:r>
        <w:t xml:space="preserve">Se houver resposta negativa por e-mail: o app classifica a resposta e decide entre responder, abrir suporte, aguardar, marcar crédito pendente, fechar perda ou pedir revisão humana.</w:t>
      </w:r>
    </w:p>
    <w:p>
      <w:pPr>
        <w:pStyle w:val="ListParagraph"/>
        <w:numPr>
          <w:ilvl w:val="0"/>
          <w:numId w:val="1"/>
        </w:numPr>
      </w:pPr>
      <w:r>
        <w:t xml:space="preserve">Financeiro: mesmo com aprovação do SAFE-T, o caso só fecha com crédito financeiro real.</w:t>
      </w:r>
    </w:p>
    <w:p>
      <w:pPr>
        <w:pStyle w:val="ListParagraph"/>
        <w:numPr>
          <w:ilvl w:val="0"/>
          <w:numId w:val="1"/>
        </w:numPr>
      </w:pPr>
      <w:r>
        <w:t xml:space="preserve">Chegada física da mercadoria: quando o usuário informa a chegada na rotina de intake, a fila de SAFE_T_READ daquele caso é encerrada nessa rotina.</w:t>
      </w:r>
    </w:p>
    <w:p>
      <w:pPr>
        <w:pStyle w:val="ListParagraph"/>
        <w:numPr>
          <w:ilvl w:val="0"/>
          <w:numId w:val="1"/>
        </w:numPr>
      </w:pPr>
      <w:r>
        <w:t xml:space="preserve">Fechamento: o caso encerra apenas quando o fluxo foi tratado, o estado físico está coerente, o financeiro foi reconciliado e não há job preso.</w:t>
      </w:r>
    </w:p>
    <w:p>
      <w:pPr>
        <w:pStyle w:val="Heading1"/>
      </w:pPr>
      <w:r>
        <w:rPr>
          <w:b/>
        </w:rPr>
        <w:t xml:space="preserve">Regras operacionais</w:t>
      </w:r>
    </w:p>
    <w:p>
      <w:pPr>
        <w:pStyle w:val="ListParagraph"/>
        <w:numPr>
          <w:ilvl w:val="0"/>
          <w:numId w:val="1"/>
        </w:numPr>
      </w:pPr>
      <w:r>
        <w:t xml:space="preserve">A regra de elegibilidade usa a data do reembolso como referência única.</w:t>
      </w:r>
    </w:p>
    <w:p>
      <w:pPr>
        <w:pStyle w:val="ListParagraph"/>
        <w:numPr>
          <w:ilvl w:val="0"/>
          <w:numId w:val="1"/>
        </w:numPr>
      </w:pPr>
      <w:r>
        <w:t xml:space="preserve">A data da postagem do cliente não deve ser usada em nenhum cálculo do fluxo.</w:t>
      </w:r>
    </w:p>
    <w:p>
      <w:pPr>
        <w:pStyle w:val="ListParagraph"/>
        <w:numPr>
          <w:ilvl w:val="0"/>
          <w:numId w:val="1"/>
        </w:numPr>
      </w:pPr>
      <w:r>
        <w:t xml:space="preserve">Abertura de SAFE-T ocorre somente quando houve reembolso do cliente e a mercadoria física não retornou até 45 dias.</w:t>
      </w:r>
    </w:p>
    <w:p>
      <w:pPr>
        <w:pStyle w:val="ListParagraph"/>
        <w:numPr>
          <w:ilvl w:val="0"/>
          <w:numId w:val="1"/>
        </w:numPr>
      </w:pPr>
      <w:r>
        <w:t xml:space="preserve">Mercadoria recebida bloqueia o caminho de non-return SAFE-T.</w:t>
      </w:r>
    </w:p>
    <w:p>
      <w:pPr>
        <w:pStyle w:val="ListParagraph"/>
        <w:numPr>
          <w:ilvl w:val="0"/>
          <w:numId w:val="1"/>
        </w:numPr>
      </w:pPr>
      <w:r>
        <w:t xml:space="preserve">A fila só é removida quando a chegada física é informada pelo usuário na rotina.</w:t>
      </w:r>
    </w:p>
    <w:p>
      <w:pPr>
        <w:pStyle w:val="ListParagraph"/>
        <w:numPr>
          <w:ilvl w:val="0"/>
          <w:numId w:val="1"/>
        </w:numPr>
      </w:pPr>
      <w:r>
        <w:t xml:space="preserve">Writes externos permanecem desligados até autorização explícita por canal.</w:t>
      </w:r>
    </w:p>
    <w:p>
      <w:pPr>
        <w:pStyle w:val="ListParagraph"/>
        <w:numPr>
          <w:ilvl w:val="0"/>
          <w:numId w:val="1"/>
        </w:numPr>
      </w:pPr>
      <w:r>
        <w:t xml:space="preserve">SAFE_T_READ é leitura read-only.</w:t>
      </w:r>
    </w:p>
    <w:p>
      <w:pPr>
        <w:pStyle w:val="ListParagraph"/>
        <w:numPr>
          <w:ilvl w:val="0"/>
          <w:numId w:val="1"/>
        </w:numPr>
      </w:pPr>
      <w:r>
        <w:t xml:space="preserve">Approval não fecha o caso sem crédito financeiro real.</w:t>
      </w:r>
    </w:p>
    <w:p>
      <w:pPr>
        <w:pStyle w:val="Heading1"/>
      </w:pPr>
      <w:r>
        <w:rPr>
          <w:b/>
        </w:rPr>
        <w:t xml:space="preserve">Estados resumidos</w:t>
      </w:r>
    </w:p>
    <w:tbl>
      <w:tblPr>
        <w:tblStyle w:val="TableGrid"/>
      </w:tblPr>
      <w:tr>
        <w:tc>
          <w:p>
            <w:r>
              <w:rPr>
                <w:b/>
              </w:rPr>
              <w:t xml:space="preserve">Estado</w:t>
            </w:r>
          </w:p>
        </w:tc>
        <w:tc>
          <w:p>
            <w:r>
              <w:rPr>
                <w:b/>
              </w:rPr>
              <w:t xml:space="preserve">Entrada</w:t>
            </w:r>
          </w:p>
        </w:tc>
        <w:tc>
          <w:p>
            <w:r>
              <w:rPr>
                <w:b/>
              </w:rPr>
              <w:t xml:space="preserve">Saída esperada</w:t>
            </w:r>
          </w:p>
        </w:tc>
      </w:tr>
      <w:tr>
        <w:tc>
          <w:p>
            <w:r>
              <w:t xml:space="preserve">Monitoramento</w:t>
            </w:r>
          </w:p>
        </w:tc>
        <w:tc>
          <w:p>
            <w:r>
              <w:t xml:space="preserve">Antes de 45 dias</w:t>
            </w:r>
          </w:p>
        </w:tc>
        <w:tc>
          <w:p>
            <w:r>
              <w:t xml:space="preserve">Aguardar marco de elegibilidade</w:t>
            </w:r>
          </w:p>
        </w:tc>
      </w:tr>
      <w:tr>
        <w:tc>
          <w:p>
            <w:r>
              <w:t xml:space="preserve">Elegível</w:t>
            </w:r>
          </w:p>
        </w:tc>
        <w:tc>
          <w:p>
            <w:r>
              <w:t xml:space="preserve">45 dias após reembolso com mercadoria ausente</w:t>
            </w:r>
          </w:p>
        </w:tc>
        <w:tc>
          <w:p>
            <w:r>
              <w:t xml:space="preserve">Abrir SAFE-T</w:t>
            </w:r>
          </w:p>
        </w:tc>
      </w:tr>
      <w:tr>
        <w:tc>
          <w:p>
            <w:r>
              <w:t xml:space="preserve">SAFE-T negado</w:t>
            </w:r>
          </w:p>
        </w:tc>
        <w:tc>
          <w:p>
            <w:r>
              <w:t xml:space="preserve">Resposta negativa da Amazon</w:t>
            </w:r>
          </w:p>
        </w:tc>
        <w:tc>
          <w:p>
            <w:r>
              <w:t xml:space="preserve">Recurso</w:t>
            </w:r>
          </w:p>
        </w:tc>
      </w:tr>
      <w:tr>
        <w:tc>
          <w:p>
            <w:r>
              <w:t xml:space="preserve">Recurso negado</w:t>
            </w:r>
          </w:p>
        </w:tc>
        <w:tc>
          <w:p>
            <w:r>
              <w:t xml:space="preserve">Apelação negada</w:t>
            </w:r>
          </w:p>
        </w:tc>
        <w:tc>
          <w:p>
            <w:r>
              <w:t xml:space="preserve">Revisão por e-mail</w:t>
            </w:r>
          </w:p>
        </w:tc>
      </w:tr>
      <w:tr>
        <w:tc>
          <w:p>
            <w:r>
              <w:t xml:space="preserve">Crédito confirmado</w:t>
            </w:r>
          </w:p>
        </w:tc>
        <w:tc>
          <w:p>
            <w:r>
              <w:t xml:space="preserve">Crédito financeiro real observado</w:t>
            </w:r>
          </w:p>
        </w:tc>
        <w:tc>
          <w:p>
            <w:r>
              <w:t xml:space="preserve">Encerrar economicamente o caso</w:t>
            </w:r>
          </w:p>
        </w:tc>
      </w:tr>
      <w:tr>
        <w:tc>
          <w:p>
            <w:r>
              <w:t xml:space="preserve">Mercadoria recebida</w:t>
            </w:r>
          </w:p>
        </w:tc>
        <w:tc>
          <w:p>
            <w:r>
              <w:t xml:space="preserve">Intake com chegada física informada</w:t>
            </w:r>
          </w:p>
        </w:tc>
        <w:tc>
          <w:p>
            <w:r>
              <w:t xml:space="preserve">Remover da fila SAFE_T_READ</w:t>
            </w:r>
          </w:p>
        </w:tc>
      </w:tr>
    </w:tbl>
    <w:p>
      <w:pPr>
        <w:pStyle w:val="Heading1"/>
      </w:pPr>
      <w:r>
        <w:rPr>
          <w:b/>
        </w:rPr>
        <w:t xml:space="preserve">Observação final</w:t>
      </w:r>
    </w:p>
    <w:p>
      <w:r>
        <w:rPr/>
        <w:t xml:space="preserve">Se você quiser, este escopo pode ser convertido em checklist de execução ou em diagrama de estados para o app.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