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BISPECIFIC ANTIBODIES TARGETING CD3 AND FOLATE RECEPTOR ALPHA AND METHODS OF USE THEREOF</w:t>
      </w:r>
    </w:p>
    <w:p/>
    <w:p>
      <w:pPr>
        <w:jc w:val="center"/>
      </w:pPr>
      <w:r>
        <w:rPr>
          <w:rFonts w:ascii="Times New Roman" w:hAnsi="Times New Roman"/>
          <w:b/>
          <w:sz w:val="24"/>
        </w:rPr>
        <w:t>FIELD OF THE INVENTION</w:t>
      </w:r>
    </w:p>
    <w:p>
      <w:r>
        <w:t>The present invention relates generally to the fields of biotechnology, immunology, and oncology. More specifically, the invention relates to novel bispecific antibodies that bind to human CD3 and human Folate Receptor Alpha (FRα), pharmaceutical compositions comprising such antibodies, and methods for using these antibodies in the treatment of cancer.</w:t>
      </w:r>
    </w:p>
    <w:p>
      <w:pPr>
        <w:jc w:val="center"/>
      </w:pPr>
      <w:r>
        <w:rPr>
          <w:rFonts w:ascii="Times New Roman" w:hAnsi="Times New Roman"/>
          <w:b/>
          <w:sz w:val="24"/>
        </w:rPr>
        <w:t>BACKGROUND</w:t>
      </w:r>
    </w:p>
    <w:p>
      <w:r>
        <w:t>Cancer remains a leading cause of mortality worldwide, with many patients experiencing disease progression despite conventional therapies. A significant challenge in oncology is the development of treatments that specifically target tumor cells while sparing healthy tissues, thereby minimizing systemic toxicity. Monoclonal antibodies have revolutionized cancer therapy by offering targeted approaches, but their efficacy can be limited by tumor heterogeneity, immune evasion mechanisms, and the need for robust immune cell engagement. Bispecific antibodies, which are engineered to bind to two different antigens simultaneously, represent a promising strategy to overcome some of these limitations. By engaging both a tumor-associated antigen and an immune cell effector molecule, such as CD3 on T cells, bispecific antibodies can redirect the body's own immune cells to specifically recognize and kill tumor cells. Folate Receptor Alpha (FRα) is a glycosylphosphatidylinositol-anchored protein that is overexpressed on the surface of various solid tumors, including ovarian, lung, and breast cancers, while having limited expression in normal tissues. This makes FRα an attractive target for antibody-based therapies. However, existing FRα-targeting agents may not always effectively recruit and activate T cells to induce potent anti-tumor responses. There is a significant unmet medical need for improved therapeutic agents that can effectively target FRα-expressing tumors by robustly engaging T cells, leading to enhanced anti-tumor immunity and improved patient outcomes. The present invention addresses this need by providing novel bispecific antibodies designed to simultaneously bind to FRα on tumor cells and CD3 on T cells, thereby facilitating potent and specific T-cell mediated tumor cell killing.</w:t>
      </w:r>
    </w:p>
    <w:p>
      <w:pPr>
        <w:jc w:val="center"/>
      </w:pPr>
      <w:r>
        <w:rPr>
          <w:rFonts w:ascii="Times New Roman" w:hAnsi="Times New Roman"/>
          <w:b/>
          <w:sz w:val="24"/>
        </w:rPr>
        <w:t>SUMMARY</w:t>
      </w:r>
    </w:p>
    <w:p>
      <w:r>
        <w:t>The present invention provides novel bispecific antibodies, and pharmaceutical compositions thereof, that are capable of binding to both human CD3 and human Folate Receptor Alpha (FRα). In one aspect, the invention provides a bispecific antibody comprising a first binding domain that specifically binds to human CD3 and a second binding domain that specifically binds to human FRα. In certain embodiments, the bispecific antibody is an IgG-like antibody, such as a 2:1 bispecific antibody, wherein two binding domains are specific for FRα and one binding domain is specific for CD3, or vice versa. The bispecific antibodies of the invention are designed to redirect T cells to FRα-expressing tumor cells, leading to T cell activation, proliferation, and subsequent lysis of the tumor cells. In some embodiments, the bispecific antibody comprises specific complementarity determining regions (CDRs) and/or variable heavy (VH) and variable light (VL) chain sequences derived from known anti-CD3 and anti-FRα antibodies. The invention further encompasses variants of these antibodies, including those with amino acid sequence modifications that enhance binding affinity, stability, or reduce immunogenicity. In another aspect, the invention provides pharmaceutical compositions comprising an effective amount of the bispecific antibody and a pharmaceutically acceptable carrier. These compositions are formulated for various routes of administration, including intravenous, subcutaneous, and intramuscular. In yet another aspect, the invention provides methods for treating cancer in a subject, comprising administering to the subject an effective amount of a bispecific antibody of the invention. The cancers treatable by the methods of the invention include, but are not limited to, ovarian cancer, non-small cell lung cancer, breast cancer, endometrial cancer, and mesothelioma. The methods may further comprise administering the bispecific antibody in combination with one or more additional therapeutic agents, such as chemotherapeutic agents, immunomodulatory agents, or other targeted therapies. The invention also provides for the use of the bispecific antibodies in the manufacture of a medicament for treating cancer.</w:t>
      </w:r>
    </w:p>
    <w:p>
      <w:pPr>
        <w:jc w:val="center"/>
      </w:pPr>
      <w:r>
        <w:rPr>
          <w:rFonts w:ascii="Times New Roman" w:hAnsi="Times New Roman"/>
          <w:b/>
          <w:sz w:val="24"/>
        </w:rPr>
        <w:t>DETAILED DESCRIPTION</w:t>
      </w:r>
    </w:p>
    <w:p>
      <w:r>
        <w:t>The present invention provides novel bispecific antibodies that specifically bind to human CD3 and human Folate Receptor Alpha (FRα), and methods for their use in treating cancer. These bispecific antibodies are designed to bridge T cells to FRα-expressing tumor cells, thereby initiating T cell-mediated cytotoxicity against the tumor cells.Definitions:As used herein, the term 'antibody' refers to an immunoglobulin molecule that specifically binds to an antigen. It encompasses full-length antibodies, antibody fragments (e.g., Fab, Fab', F(ab')2, Fv, scFv, diabody, dAb), and engineered antibody constructs. The term 'bispecific antibody' refers to an antibody that has two different antigen-binding specificities. The term 'Folate Receptor Alpha' or 'FRα' refers to the human FRα protein, including its naturally occurring variants and isoforms. The term 'CD3' refers to the human CD3 complex, including its epsilon (CD3ε) subunit, which is a component of the T cell receptor complex. The term 'effective amount' refers to an amount of a therapeutic agent sufficient to achieve a desired therapeutic outcome, such as reduction in tumor size, inhibition of tumor growth, or improvement in survival.The Bispecific Antibodies:The bispecific antibodies of the invention comprise a first binding domain that specifically binds to human CD3 and a second binding domain that specifically binds to human FRα. In a preferred embodiment, the bispecific antibody is an IgG-like antibody, such as a 2:1 bispecific antibody, where two antigen-binding sites are specific for FRα and one antigen-binding site is specific for CD3. This format may enhance tumor cell binding and T cell redirection. The bispecific antibodies can be generated using various established antibody engineering techniques, including but not limited to, 'knob-into-hole' technology, common light chain approaches, or single-chain variable fragment (scFv) fusions.Specific embodiments of the bispecific antibodies include those comprising specific complementarity determining regions (CDRs) and/or variable heavy (VH) and variable light (VL) chain sequences. For example, the anti-CD3 binding domain may comprise CDRs derived from known anti-CD3 antibodies (e.g., SEQ ID NOs: X-Y for VH CDR1, CDR2, CDR3 and SEQ ID NOs: A-B for VL CDR1, CDR2, CDR3). Similarly, the anti-FRα binding domain may comprise CDRs derived from known anti-FRα antibodies (e.g., SEQ ID NOs: P-Q for VH CDR1, CDR2, CDR3 and SEQ ID NOs: R-S for VL CDR1, CDR2, CDR3). (Note: Specific SEQ ID NOs would be inserted here if provided in source data).The bispecific antibodies may further comprise constant regions, such as human IgG1, IgG2, or IgG4 constant regions, optionally modified to alter effector functions (e.g., Fc silencing mutations to reduce FcγR binding and ADCC/ADCP, or mutations to enhance half-life). The antibodies may be afucosylated to enhance FcγRIIIa binding and ADCC, or engineered to have reduced immunogenicity.Variants of the disclosed bispecific antibodies are also contemplated, including those with amino acid sequence identity of at least 80%, 85%, 90%, 95%, 96%, 97%, 98%, or 99% to the specified sequences, provided they retain the desired binding specificities and functional properties. Such variants may include conservative amino acid substitutions, deletions, or insertions.In Silico Validation:Computational methods can be employed to design and optimize the bispecific antibodies. For example, molecular modeling and docking simulations can predict the binding modes of the anti-CD3 and anti-FRα domains to their respective targets. In silico affinity maturation techniques, such as those utilizing ThermoMPNN or AlphaFold, can be used to identify amino acid substitutions that enhance binding affinity or stability. Furthermore, computational analysis can predict potential immunogenic epitopes within the antibody sequences, allowing for their modification to reduce the risk of anti-drug antibody (ADA) responses. (Note: Specific computational data, e.g., predicted binding energies, stability scores, or clash counts, would be included here if provided).Pharmaceutical Compositions:The invention also provides pharmaceutical compositions comprising an effective amount of the bispecific antibody and a pharmaceutically acceptable carrier. The compositions may include excipients such as buffers (e.g., phosphate, citrate, histidine), stabilizers (e.g., sucrose, trehalose), surfactants (e.g., polysorbate 80), and preservatives. The compositions can be formulated for parenteral administration, including intravenous, subcutaneous, or intramuscular injection.Methods of Treatment:The bispecific antibodies of the invention are useful for treating various cancers, particularly those that express FRα. Examples of such cancers include, but are not limited to, ovarian cancer, non-small cell lung cancer (NSCLC), breast cancer, endometrial cancer, mesothelioma, and renal cell carcinoma. The method comprises administering an effective amount of the bispecific antibody to a subject in need thereof. The administration can be performed as a monotherapy or in combination with other therapeutic agents, such as chemotherapy (e.g., platinum-based agents, taxanes), other immunotherapies (e.g., checkpoint inhibitors like anti-PD-1 or anti-PD-L1 antibodies), or targeted therapies. Dosing regimens will vary depending on the specific antibody, the patient's condition, and the type and stage of cancer. Typical dosages may range from 0.01 mg/kg to 10 mg/kg, administered weekly, bi-weekly, or monthly. (Note: Specific dosing regimens and clinical trial data would be included here if provided).Examples:Example 1: Prophetic Generation and Engineering of a Bispecific Anti-CD3/Anti-FRα AntibodyA bispecific antibody targeting human CD3 and human FRα is designed using a 2:1 IgG-like format. The anti-CD3 binding domain is derived from a known high-affinity anti-CD3 antibody, and the anti-FRα binding domain is derived from a known anti-FRα antibody. The variable regions are cloned into expression vectors containing human IgG1 constant regions, with specific modifications to create the 2:1 bispecific format (e.g., 'knob-into-hole' mutations in the Fc region to facilitate heterodimerization). The resulting expression vectors are co-transfected into mammalian cells (e.g., CHO cells). The bispecific antibody is purified from cell culture supernatant using standard chromatographic techniques, including Protein A affinity chromatography, ion exchange chromatography, and size exclusion chromatography. The purified antibody is characterized for purity, aggregation state, and structural integrity by SDS-PAGE, SEC-HPLC, and mass spectrometry.Example 2: Prophetic In Vitro Characterization of Bispecific Antibody Binding and FunctionThe binding affinity of the bispecific antibody to recombinant human CD3ε and recombinant human FRα is determined using surface plasmon resonance (SPR) or biolayer interferometry (BLI). The antibody is expected to bind to both targets with high affinity (e.g., KD values in the picomolar to nanomolar range). The ability of the bispecific antibody to redirect T cells to FRα-expressing tumor cells is assessed in co-culture assays. FRα-positive tumor cell lines (e.g., OVCAR-3, A549) are co-cultured with human peripheral blood mononuclear cells (PBMCs) or isolated T cells in the presence of varying concentrations of the bispecific antibody. T cell activation is measured by upregulation of activation markers (e.g., CD25, CD69, CD137) and cytokine production (e.g., IFN-γ, TNF-α, IL-2) using flow cytometry and ELISA. Tumor cell killing is quantified using cytotoxicity assays (e.g., LDH release assay, IncuCyte live-cell analysis). The bispecific antibody is expected to induce potent, dose-dependent T cell activation and tumor cell lysis.Example 3: Prophetic In Vivo Efficacy in a Xenograft ModelThe anti-tumor efficacy of the bispecific antibody is evaluated in a human FRα-positive tumor xenograft model in immunodeficient mice reconstituted with human PBMCs. FRα-positive tumor cells are subcutaneously implanted into NSG mice. Once tumors are established, mice are randomized into treatment groups receiving vehicle, control antibody, or varying doses of the bispecific anti-CD3/anti-FRα antibody. The antibody is administered intravenously or subcutaneously on a defined schedule. Tumor volume is measured regularly, and body weight is monitored. At the end of the study, tumors are harvested for immunohistochemical analysis to assess T cell infiltration and tumor cell apoptosis. The bispecific antibody is expected to significantly inhibit tumor growth and potentially induce tumor regression compared to control groups.Example 4: Prophetic Pharmaceutical FormulationA pharmaceutical composition suitable for intravenous administration is prepared. The bispecific antibody is formulated at a concentration of 10 mg/mL in a buffer containing 20 mM histidine, 150 mM NaCl, 0.02% polysorbate 80, at pH 6.0. The formulation is sterile-filtered and filled into single-use vials. Stability studies are conducted at various temperatures (e.g., 5°C, 25°C, 40°C) to assess physical and chemical stability over time, including aggregation, fragmentation, and charge variants. The formulation is expected to maintain stability for at least 24 months at 5°C.</w:t>
      </w:r>
    </w:p>
    <w:p>
      <w:r>
        <w:br w:type="page"/>
      </w:r>
    </w:p>
    <w:p>
      <w:pPr>
        <w:jc w:val="center"/>
      </w:pPr>
      <w:r>
        <w:rPr>
          <w:rFonts w:ascii="Times New Roman" w:hAnsi="Times New Roman"/>
          <w:b/>
          <w:sz w:val="24"/>
        </w:rPr>
        <w:t>CLAIMS</w:t>
      </w:r>
    </w:p>
    <w:p>
      <w:r>
        <w:t>What is claimed is:</w:t>
      </w:r>
    </w:p>
    <w:p>
      <w:r>
        <w:t>1. A bispecific antibody comprising a first binding domain that specifically binds to human CD3 and a second binding domain that specifically binds to human Folate Receptor Alpha (FRα).</w:t>
      </w:r>
    </w:p>
    <w:p>
      <w:r>
        <w:t>2. The bispecific antibody of claim 1, wherein the first binding domain comprises a variable heavy chain (VH) and a variable light chain (VL) of an anti-CD3 antibody.</w:t>
      </w:r>
    </w:p>
    <w:p>
      <w:r>
        <w:t>3. The bispecific antibody of claim 1, wherein the second binding domain comprises a variable heavy chain (VH) and a variable light chain (VL) of an anti-FRα antibody.</w:t>
      </w:r>
    </w:p>
    <w:p>
      <w:r>
        <w:t>4. The bispecific antibody of claim 1, wherein the antibody is an IgG-like bispecific antibody.</w:t>
      </w:r>
    </w:p>
    <w:p>
      <w:r>
        <w:t>5. The bispecific antibody of claim 4, wherein the antibody is a 2:1 bispecific antibody, comprising two binding domains specific for FRα and one binding domain specific for CD3.</w:t>
      </w:r>
    </w:p>
    <w:p>
      <w:r>
        <w:t>6. The bispecific antibody of claim 1, wherein the first binding domain comprises the complementarity determining regions (CDRs) of a VH sequence having at least 90% sequence identity to SEQ ID NO:X and the CDRs of a VL sequence having at least 90% sequence identity to SEQ ID NO:Y.</w:t>
      </w:r>
    </w:p>
    <w:p>
      <w:r>
        <w:t>7. The bispecific antibody of claim 1, wherein the second binding domain comprises the complementarity determining regions (CDRs) of a VH sequence having at least 90% sequence identity to SEQ ID NO:A and the CDRs of a VL sequence having at least 90% sequence identity to SEQ ID NO:B.</w:t>
      </w:r>
    </w:p>
    <w:p>
      <w:r>
        <w:t>8. The bispecific antibody of claim 1, wherein the antibody comprises a human IgG1, IgG2, or IgG4 constant region.</w:t>
      </w:r>
    </w:p>
    <w:p>
      <w:r>
        <w:t>9. The bispecific antibody of claim 8, wherein the constant region comprises mutations that reduce Fc effector function.</w:t>
      </w:r>
    </w:p>
    <w:p>
      <w:r>
        <w:t>10. The bispecific antibody of claim 1, which is afucosylated.</w:t>
      </w:r>
    </w:p>
    <w:p>
      <w:r>
        <w:t>11. The bispecific antibody of claim 1, which is glycosylated.</w:t>
      </w:r>
    </w:p>
    <w:p>
      <w:r>
        <w:t>12. A pharmaceutical composition comprising the bispecific antibody of claim 1 and a pharmaceutically acceptable carrier.</w:t>
      </w:r>
    </w:p>
    <w:p>
      <w:r>
        <w:t>13. The pharmaceutical composition of claim 12, formulated for intravenous administration.</w:t>
      </w:r>
    </w:p>
    <w:p>
      <w:r>
        <w:t>14. The pharmaceutical composition of claim 12, further comprising a stabilizer selected from sucrose and trehalose.</w:t>
      </w:r>
    </w:p>
    <w:p>
      <w:r>
        <w:t>15. A method of treating cancer in a subject, comprising administering to the subject an effective amount of the bispecific antibody of claim 1.</w:t>
      </w:r>
    </w:p>
    <w:p>
      <w:r>
        <w:t>16. The method of claim 15, wherein the cancer is selected from ovarian cancer, non-small cell lung cancer, breast cancer, endometrial cancer, and mesothelioma.</w:t>
      </w:r>
    </w:p>
    <w:p>
      <w:r>
        <w:t>17. The method of claim 15, wherein the subject is a human.</w:t>
      </w:r>
    </w:p>
    <w:p>
      <w:r>
        <w:t>18. The method of claim 15, wherein the bispecific antibody is administered intravenously.</w:t>
      </w:r>
    </w:p>
    <w:p>
      <w:r>
        <w:t>19. The method of claim 15, further comprising administering a second therapeutic agent to the subject.</w:t>
      </w:r>
    </w:p>
    <w:p>
      <w:r>
        <w:t>20. The method of claim 19, wherein the second therapeutic agent is a chemotherapeutic agent or an immunomodulatory agent.</w:t>
      </w:r>
    </w:p>
    <w:p>
      <w:r>
        <w:t>21. The method of claim 15, wherein the administration of the bispecific antibody results in T cell activation and proliferation.</w:t>
      </w:r>
    </w:p>
    <w:p>
      <w:r>
        <w:t>22. The method of claim 15, wherein the administration of the bispecific antibody results in lysis of FRα-expressing tumor cells.</w:t>
      </w:r>
    </w:p>
    <w:p>
      <w:r>
        <w:t>23. The bispecific antibody of claim 1, wherein the first binding domain binds to human CD3ε.</w:t>
      </w:r>
    </w:p>
    <w:p>
      <w:r>
        <w:t>24. The bispecific antibody of claim 1, wherein the second binding domain binds to human FRα with a KD of less than 10 nM.</w:t>
      </w:r>
    </w:p>
    <w:p>
      <w:r>
        <w:t>25. The bispecific antibody of claim 1, wherein the antibody redirects human T cells to kill FRα-expressing tumor cells in vitro.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