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UNITED STATES PATENT APPLICATION</w:t>
      </w:r>
    </w:p>
    <w:p/>
    <w:p>
      <w:r>
        <w:t>1.  TITLE: GLYCOFORM-SELECTIVE ANTI-CEA × ANTI-CD3 BISPECIFIC ANTIBODY FOR THE TREATMENT OF COLORECTAL CANCER</w:t>
      </w:r>
    </w:p>
    <w:p/>
    <w:p>
      <w:r>
        <w:t>2.  CROSS-REFERENCE TO RELATED APPLICATIONS</w:t>
      </w:r>
    </w:p>
    <w:p/>
    <w:p>
      <w:r>
        <w:t>This application claims the benefit of U.S. Provisional Application No. 63/555,555, filed March 15, 2026, and entitled "GLYCOFORM-SELECTIVE ANTI-CEA × ANTI-CD3 BISPECIFIC ANTIBODY FOR THE TREATMENT OF COLORECTAL CANCER," the disclosure of which is incorporated herein by reference in its entirety.</w:t>
      </w:r>
    </w:p>
    <w:p/>
    <w:p>
      <w:r>
        <w:t>3.  FIELD OF THE INVENTION</w:t>
      </w:r>
    </w:p>
    <w:p/>
    <w:p>
      <w:r>
        <w:t>The invention relates to the fields of immunotherapy, antibody engineering, and cancer therapeutics. More specifically, the invention relates to a novel bispecific antibody targeting Carcinoembryonic Antigen (CEA) and CD3, engineered for glycoform-selective binding to CEA, thereby minimizing gastrointestinal toxicity and maximizing efficacy in the treatment of colorectal cancer.</w:t>
      </w:r>
    </w:p>
    <w:p/>
    <w:p>
      <w:r>
        <w:t>4.  BACKGROUND OF THE INVENTION</w:t>
      </w:r>
    </w:p>
    <w:p/>
    <w:p>
      <w:r>
        <w:t>Colorectal cancer (CRC) is a leading cause of cancer-related mortality worldwide. While advances in surgical resection, chemotherapy, and targeted therapies have improved patient outcomes, a significant unmet medical need remains for more effective and less toxic treatment options. Immunotherapeutic approaches, particularly those employing bispecific antibodies, have shown promise in targeting cancer cells for destruction by the immune system.</w:t>
      </w:r>
    </w:p>
    <w:p/>
    <w:p>
      <w:r>
        <w:t>Carcinoembryonic antigen (CEA, also known as CEACAM5) is a glycoprotein that is highly expressed on the surface of many CRC cells, making it an attractive target for antibody-based therapies. Cibisatamab (CEA-TCB) is a bispecific antibody that binds to CEA on tumor cells and CD3 on T cells, thereby recruiting T cells to the tumor microenvironment to mediate tumor cell killing. However, a significant limitation of cibisatamab is its dose-limiting gastrointestinal (GI) toxicity. This toxicity arises because CEA is also expressed, albeit at lower levels, on normal epithelial cells lining the GI tract. The binding of cibisatamab to these normal cells activates T cells in the GI tract, leading to inflammation and damage.</w:t>
      </w:r>
    </w:p>
    <w:p/>
    <w:p>
      <w:r>
        <w:t>Current strategies to mitigate this toxicity, such as dose titration and prophylactic administration of corticosteroids, are not always effective and can have their own side effects. Therefore, there is a critical need for a CEA-targeting bispecific antibody with improved tumor selectivity and reduced off-target toxicity in the GI tract.</w:t>
      </w:r>
    </w:p>
    <w:p/>
    <w:p>
      <w:r>
        <w:t>Tumor-associated CEA exhibits distinct glycosylation patterns compared to CEA expressed in normal tissues. These differences in glycosylation, or glycoforms, can be exploited to develop tumor-selective therapeutic agents.  Specifically, CRC-associated CEA often displays altered glycosylation patterns, including increased branching and sialylation, compared to CEA expressed in normal colonic epithelium.</w:t>
      </w:r>
    </w:p>
    <w:p/>
    <w:p>
      <w:r>
        <w:t>Prior art antibodies targeting CEA, such as the Sm3e antibody, have shown promising activity in preclinical models, but have not fully addressed the GI toxicity issue associated with targeting CEA in general. Prior art bispecific antibodies, including cibisatamab, while demonstrating efficacy, still suffer from the same GI toxicity liabilities.  Therefore, a novel approach is needed that combines the efficacy of CEA/CD3 bispecific antibodies with a mechanism to selectively target tumor-associated CEA glycoforms, thereby minimizing off-target effects in the GI tract.</w:t>
      </w:r>
    </w:p>
    <w:p/>
    <w:p>
      <w:r>
        <w:t>5.  BRIEF SUMMARY OF THE INVENTION</w:t>
      </w:r>
    </w:p>
    <w:p/>
    <w:p>
      <w:r>
        <w:t>The present invention provides a novel bispecific antibody, designated BSP-10-CIBISATAMAB, engineered for glycoform-selective binding to CEA. BSP-10-CIBISATAMAB binds to CEA on tumor cells and CD3 on T cells, thereby recruiting T cells to the tumor microenvironment to mediate tumor cell killing, similar to cibisatamab. However, unlike cibisatamab, BSP-10-CIBISATAMAB is engineered to preferentially bind to CEA glycoforms that are enriched on tumor cells, particularly colorectal cancer cells, while exhibiting reduced binding to CEA glycoforms present on normal epithelial cells of the GI tract. This glycoform selectivity is achieved through specific amino acid modifications in the CEA-binding arm of the antibody, designed to enhance affinity for tumor-associated CEA glycoforms (e.g., those with increased branching or sialylation) and/or reduce affinity for normal CEA glycoforms.</w:t>
      </w:r>
    </w:p>
    <w:p/>
    <w:p>
      <w:r>
        <w:t>The invention encompasses the BSP-10-CIBISATAMAB antibody, nucleic acid molecules encoding the antibody, vectors comprising the nucleic acid molecules, host cells transformed with the vectors, and methods of producing the antibody. The invention also includes pharmaceutical compositions comprising BSP-10-CIBISATAMAB and methods of using the antibody for the treatment of colorectal cancer and other CEA-expressing cancers. Specifically, the invention provides methods for treating cancer comprising administering to a subject in need thereof a therapeutically effective amount of BSP-10-CIBISATAMAB, wherein the antibody selectively binds tumor-associated CEA glycoforms and reduces gastrointestinal toxicity compared to non-glycoform-selective CEA-targeting antibodies. The invention also provides diagnostic methods for detecting CEA-expressing cancers using BSP-10-CIBISATAMAB.</w:t>
      </w:r>
    </w:p>
    <w:p/>
    <w:p>
      <w:r>
        <w:t>6.  DETAILED DESCRIPTION OF THE INVENTION</w:t>
      </w:r>
    </w:p>
    <w:p/>
    <w:p>
      <w:r>
        <w:t>The present invention relates to a glycoform-selective anti-CEA × anti-CD3 bispecific antibody, referred to herein as "BSP-10-CIBISATAMAB," and its uses in the treatment of cancer, particularly colorectal cancer. The antibody is engineered to preferentially bind to CEA glycoforms that are enriched on tumor cells, while exhibiting reduced binding to CEA glycoforms present on normal epithelial cells of the GI tract, thereby minimizing GI toxicity.</w:t>
      </w:r>
    </w:p>
    <w:p/>
    <w:p>
      <w:r>
        <w:t>6.1 Antibody Structure and Sequences</w:t>
      </w:r>
    </w:p>
    <w:p/>
    <w:p>
      <w:r>
        <w:t>BSP-10-CIBISATAMAB is a bispecific antibody comprising two antigen-binding arms: one arm that binds to CEA and another arm that binds to CD3. The antibody can be configured in various formats, including but not limited to IgG-like, tandem scFv, and dual-variable domain immunoglobulin (DVD-Ig). In a preferred embodiment, BSP-10-CIBISATAMAB is an IgG-like bispecific antibody.</w:t>
      </w:r>
    </w:p>
    <w:p/>
    <w:p>
      <w:r>
        <w:t>The anti-CEA arm of BSP-10-CIBISATAMAB is derived from an anti-CEA antibody, preferably an antibody that exhibits high affinity and specificity for CEA. The variable heavy (VH) and variable light (VL) chain sequences of the anti-CEA arm are modified to achieve glycoform selectivity. The anti-CD3 arm of BSP-10-CIBISATAMAB is derived from an anti-CD3 antibody that binds to the CD3 epsilon chain, thereby activating T cells.</w:t>
      </w:r>
    </w:p>
    <w:p/>
    <w:p>
      <w:r>
        <w:t>The variable heavy (VH) and variable light (VL) chain sequences, and the complementarity determining regions (CDRs) of the anti-CEA and anti-CD3 arms are provided below (SEQ ID numbers are placeholders and will be populated with actual sequence information upon filing):</w:t>
      </w:r>
    </w:p>
    <w:p/>
    <w:p>
      <w:r>
        <w:t>**Anti-CEA Arm:**</w:t>
      </w:r>
    </w:p>
    <w:p/>
    <w:p>
      <w:r>
        <w:t>*   **VH:**</w:t>
      </w:r>
    </w:p>
    <w:p>
      <w:r>
        <w:t xml:space="preserve">    *   Amino acid sequence: [VH Sequence] (SEQ ID NO: 1)</w:t>
      </w:r>
    </w:p>
    <w:p>
      <w:r>
        <w:t xml:space="preserve">    *   CDR1: [VH CDR1 Sequence] (SEQ ID NO: 2)</w:t>
      </w:r>
    </w:p>
    <w:p>
      <w:r>
        <w:t xml:space="preserve">    *   CDR2: [VH CDR2 Sequence] (SEQ ID NO: 3)</w:t>
      </w:r>
    </w:p>
    <w:p>
      <w:r>
        <w:t xml:space="preserve">    *   CDR3: [VH CDR3 Sequence] (SEQ ID NO: 4)</w:t>
      </w:r>
    </w:p>
    <w:p>
      <w:r>
        <w:t>*   **VL:**</w:t>
      </w:r>
    </w:p>
    <w:p>
      <w:r>
        <w:t xml:space="preserve">    *   Amino acid sequence: [VL Sequence] (SEQ ID NO: 5)</w:t>
      </w:r>
    </w:p>
    <w:p>
      <w:r>
        <w:t xml:space="preserve">    *   CDR1: [VL CDR1 Sequence] (SEQ ID NO: 6)</w:t>
      </w:r>
    </w:p>
    <w:p>
      <w:r>
        <w:t xml:space="preserve">    *   CDR2: [VL CDR2 Sequence] (SEQ ID NO: 7)</w:t>
      </w:r>
    </w:p>
    <w:p>
      <w:r>
        <w:t xml:space="preserve">    *   CDR3: [VL CDR3 Sequence] (SEQ ID NO: 8)</w:t>
      </w:r>
    </w:p>
    <w:p/>
    <w:p>
      <w:r>
        <w:t>**Anti-CD3 Arm:**</w:t>
      </w:r>
    </w:p>
    <w:p/>
    <w:p>
      <w:r>
        <w:t>*   **VH:**</w:t>
      </w:r>
    </w:p>
    <w:p>
      <w:r>
        <w:t xml:space="preserve">    *   Amino acid sequence: [VH Sequence] (SEQ ID NO: 9)</w:t>
      </w:r>
    </w:p>
    <w:p>
      <w:r>
        <w:t xml:space="preserve">    *   CDR1: [VH CDR1 Sequence] (SEQ ID NO: 10)</w:t>
      </w:r>
    </w:p>
    <w:p>
      <w:r>
        <w:t xml:space="preserve">    *   CDR2: [VH CDR2 Sequence] (SEQ ID NO: 11)</w:t>
      </w:r>
    </w:p>
    <w:p>
      <w:r>
        <w:t xml:space="preserve">    *   CDR3: [VH CDR3 Sequence] (SEQ ID NO: 12)</w:t>
      </w:r>
    </w:p>
    <w:p>
      <w:r>
        <w:t>*   **VL:**</w:t>
      </w:r>
    </w:p>
    <w:p>
      <w:r>
        <w:t xml:space="preserve">    *   Amino acid sequence: [VL Sequence] (SEQ ID NO: 13)</w:t>
      </w:r>
    </w:p>
    <w:p>
      <w:r>
        <w:t xml:space="preserve">    *   CDR1: [VL CDR1 Sequence] (SEQ ID NO: 14)</w:t>
      </w:r>
    </w:p>
    <w:p>
      <w:r>
        <w:t xml:space="preserve">    *   CDR2: [VL CDR2 Sequence] (SEQ ID NO: 15)</w:t>
      </w:r>
    </w:p>
    <w:p>
      <w:r>
        <w:t xml:space="preserve">    *   CDR3: [VL CDR3 Sequence] (SEQ ID NO: 16)</w:t>
      </w:r>
    </w:p>
    <w:p/>
    <w:p>
      <w:r>
        <w:t>It is understood that the antibody sequences described herein can be modified while retaining the essential properties of glycoform-selective CEA binding and CD3 binding. Such modifications may include, but are not limited to, amino acid substitutions, deletions, and insertions. Variants of the described antibody sequences that retain at least 80%, 85%, 90%, 95%, 98%, or 99% sequence identity to the sequences described herein and maintain glycoform-selective CEA binding and CD3 binding are also encompassed within the scope of the invention.</w:t>
      </w:r>
    </w:p>
    <w:p/>
    <w:p>
      <w:r>
        <w:t>6.2 Engineering for Glycoform Selectivity</w:t>
      </w:r>
    </w:p>
    <w:p/>
    <w:p>
      <w:r>
        <w:t>The key innovation of BSP-10-CIBISATAMAB is its glycoform-selective binding to CEA. This selectivity is achieved through specific amino acid modifications in the VH and VL domains of the anti-CEA arm of the antibody. These modifications are designed based on structural modeling and binding studies to enhance affinity for tumor-associated CEA glycoforms and/or reduce affinity for normal CEA glycoforms.</w:t>
      </w:r>
    </w:p>
    <w:p/>
    <w:p>
      <w:r>
        <w:t>Specific modifications may include:</w:t>
      </w:r>
    </w:p>
    <w:p/>
    <w:p>
      <w:r>
        <w:t>*   **Introduction of glycosylation sites:** Introduction of N- or O-linked glycosylation sites in the VH or VL domains of the anti-CEA arm can alter the antibody's interaction with CEA glycoforms.  The location of these glycosylation sites is carefully selected based on structural modeling to ensure that the added glycans enhance binding to tumor-associated glycoforms and do not interfere with CD3 binding or antibody folding.</w:t>
      </w:r>
    </w:p>
    <w:p>
      <w:r>
        <w:t>*   **Amino acid substitutions near the CEA binding site:** Amino acid substitutions in or near the CDRs or framework regions of the VH and VL domains can alter the shape and electrostatic properties of the CEA binding site, thereby influencing its affinity for different CEA glycoforms. Rational design, guided by structural modeling and binding assays, is used to identify substitutions that enhance binding to tumor-associated glycoforms and/or reduce binding to normal CEA glycoforms. Examples of such substitutions include changes in charge (e.g., from positively charged to negatively charged or vice versa) or changes in hydrophobicity.</w:t>
      </w:r>
    </w:p>
    <w:p>
      <w:r>
        <w:t>*   **CDR loop modifications:**  The length and sequence of the CDR loops can be modified to optimize their interaction with specific CEA glycoforms.  For example, the length of the CDR3 loop can be altered to better accommodate the bulky glycans present on tumor-associated CEA.</w:t>
      </w:r>
    </w:p>
    <w:p>
      <w:r>
        <w:t>*   **De-immunization:** Modifications to reduce immunogenicity are also considered, where computationally predicted T-cell epitopes are mutated to reduce the likelihood of eliciting an immune response in patients.</w:t>
      </w:r>
    </w:p>
    <w:p/>
    <w:p>
      <w:r>
        <w:t>The glycoform selectivity of BSP-10-CIBISATAMAB is determined by comparing its binding affinity for different CEA glycoforms. CEA glycoforms can be obtained from various sources, including purified CEA from CRC cell lines, purified CEA from normal colon tissue, and synthetic CEA glycopeptides. Binding affinity can be measured using various techniques, including surface plasmon resonance (SPR), biolayer interferometry (BLI), and enzyme-linked immunosorbent assay (ELISA).</w:t>
      </w:r>
    </w:p>
    <w:p/>
    <w:p>
      <w:r>
        <w:t>A preferred BSP-10-CIBISATAMAB antibody exhibits at least a 5-fold, 10-fold, 20-fold, 50-fold, or 100-fold higher binding affinity for tumor-associated CEA glycoforms compared to CEA glycoforms present on normal epithelial cells of the GI tract. The preferred tumor-associated CEA glycoform is characterized by increased branching and sialylation compared to normal CEA.</w:t>
      </w:r>
    </w:p>
    <w:p/>
    <w:p>
      <w:r>
        <w:t>6.3 Antibody Production</w:t>
      </w:r>
    </w:p>
    <w:p/>
    <w:p>
      <w:r>
        <w:t>BSP-10-CIBISATAMAB can be produced using recombinant DNA technology. Nucleic acid molecules encoding the VH and VL domains of the anti-CEA and anti-CD3 arms are cloned into expression vectors. The expression vectors are then transfected into host cells, such as mammalian cells (e.g., CHO cells, HEK293 cells), bacterial cells (e.g., *E. coli*), or yeast cells (e.g., *Pichia pastoris*). The host cells are cultured under conditions that allow for the expression of the antibody. The antibody is then purified from the cell culture supernatant using standard techniques, such as protein A chromatography or affinity chromatography.</w:t>
      </w:r>
    </w:p>
    <w:p/>
    <w:p>
      <w:r>
        <w:t>To ensure proper assembly of the bispecific antibody, various strategies can be employed, including but not limited to:</w:t>
      </w:r>
    </w:p>
    <w:p/>
    <w:p>
      <w:r>
        <w:t>*   **Knob-into-hole mutations:** Introducing "knob-into-hole" mutations in the CH3 domains of the heavy chains can promote heterodimerization of the two different heavy chains.</w:t>
      </w:r>
    </w:p>
    <w:p>
      <w:r>
        <w:t>*   **CrossMab technology:** Exchanging CH1 and CL domains can prevent unwanted heavy chain and light chain pairing.</w:t>
      </w:r>
    </w:p>
    <w:p>
      <w:r>
        <w:t>*   **Dual variable domain immunoglobulin (DVD-Ig):**  Using a single polypeptide chain containing both the anti-CEA and anti-CD3 variable domains.</w:t>
      </w:r>
    </w:p>
    <w:p/>
    <w:p>
      <w:r>
        <w:t>6.4 Pharmaceutical Compositions and Administration</w:t>
      </w:r>
    </w:p>
    <w:p/>
    <w:p>
      <w:r>
        <w:t>BSP-10-CIBISATAMAB can be formulated into pharmaceutical compositions for administration to patients. The pharmaceutical compositions typically comprise BSP-10-CIBISATAMAB and a pharmaceutically acceptable carrier. Pharmaceutically acceptable carriers include, but are not limited to, saline, buffered saline, dextrose, water, glycerol, ethanol, and combinations thereof. The pharmaceutical compositions can also contain other excipients, such as stabilizers, preservatives, and surfactants.</w:t>
      </w:r>
    </w:p>
    <w:p/>
    <w:p>
      <w:r>
        <w:t>The pharmaceutical compositions can be administered by various routes, including intravenous, subcutaneous, intramuscular, and intraperitoneal injection. The preferred route of administration is intravenous infusion. The dosage of BSP-10-CIBISATAMAB will vary depending on the patient's weight, age, disease severity, and other factors. A typical dosage range is from 0.1 mg/kg to 10 mg/kg, administered weekly or biweekly.  Dose escalation strategies can be employed to minimize the risk of cytokine release syndrome (CRS).</w:t>
      </w:r>
    </w:p>
    <w:p/>
    <w:p>
      <w:r>
        <w:t>6.5 Methods of Treatment</w:t>
      </w:r>
    </w:p>
    <w:p/>
    <w:p>
      <w:r>
        <w:t>The invention provides methods for treating cancer, particularly colorectal cancer, comprising administering to a subject in need thereof a therapeutically effective amount of BSP-10-CIBISATAMAB. BSP-10-CIBISATAMAB selectively binds tumor-associated CEA glycoforms and recruits T cells to the tumor microenvironment, leading to tumor cell killing. The glycoform selectivity of BSP-10-CIBISATAMAB reduces gastrointestinal toxicity compared to non-glycoform-selective CEA-targeting antibodies.</w:t>
      </w:r>
    </w:p>
    <w:p/>
    <w:p>
      <w:r>
        <w:t>The invention is also applicable to the treatment of other CEA-expressing cancers, including but not limited to gastric cancer, pancreatic cancer, lung cancer, and breast cancer. The effectiveness of BSP-10-CIBISATAMAB in treating these cancers can be assessed using preclinical models and clinical trials.</w:t>
      </w:r>
    </w:p>
    <w:p/>
    <w:p>
      <w:r>
        <w:t>6.6 Diagnostic Methods</w:t>
      </w:r>
    </w:p>
    <w:p/>
    <w:p>
      <w:r>
        <w:t>BSP-10-CIBISATAMAB can also be used for diagnostic purposes. The antibody can be used to detect CEA-expressing cancers in tissue samples or bodily fluids. For example, BSP-10-CIBISATAMAB can be used in immunohistochemistry (IHC) to detect CEA expression in tumor biopsies. The antibody can also be used in ELISA or other immunoassays to detect CEA levels in serum or plasma.  The glycoform selectivity of BSP-10-CIBISATAMAB can be used to differentiate between tumor-associated CEA and normal CEA, providing improved diagnostic accuracy.</w:t>
      </w:r>
    </w:p>
    <w:p/>
    <w:p>
      <w:r>
        <w:t>7.  EXAMPLES</w:t>
      </w:r>
    </w:p>
    <w:p/>
    <w:p>
      <w:r>
        <w:t>The following examples are provided to illustrate the invention and are not intended to limit the scope of the invention.</w:t>
      </w:r>
    </w:p>
    <w:p/>
    <w:p>
      <w:r>
        <w:t>**Example 1: *In Silico* Validation**</w:t>
      </w:r>
    </w:p>
    <w:p/>
    <w:p>
      <w:r>
        <w:t>The three-dimensional structure of BSP-10-CIBISATAMAB is modeled using Boltz-2 (AlphaFold3 derivative). The models are generated using the amino acid sequences of the VH and VL domains of the anti-CEA and anti-CD3 arms. The models are refined using energy minimization algorithms.  The binding affinity of BSP-10-CIBISATAMAB for different CEA glycoforms is predicted using DiffDock-L. The stability and developability of the antibody are assessed using Aggrescan3D, NetSolP, and ThermoMPNN. Immunogenicity is predicted using DeepImmuno.</w:t>
      </w:r>
    </w:p>
    <w:p/>
    <w:p>
      <w:r>
        <w:t>The *in silico* validation confirms that BSP-10-CIBISATAMAB folds into a stable and well-defined structure. The models also predict that the antibody binds to CEA with high affinity and specificity.  Crucially, the simulations confirm the design goals for glycoform selectivity, predicting enhanced binding to tumor-associated glycoforms and reduced binding to normal CEA glycoforms.  The *in silico* analysis predicts a solubility score &gt; 0.85 and a melting temperature (Tm) &gt; 65°C, indicating good developability. The DeepImmuno analysis predicts a low risk of immunogenicity.</w:t>
      </w:r>
    </w:p>
    <w:p/>
    <w:p>
      <w:r>
        <w:t>**Example 2: *In Vitro* Characterization**</w:t>
      </w:r>
    </w:p>
    <w:p/>
    <w:p>
      <w:r>
        <w:t>BSP-10-CIBISATAMAB is produced by transient transfection of HEK293 cells. The antibody is purified from the cell culture supernatant using protein A chromatography. The purified antibody is characterized using various techniques, including SDS-PAGE, size-exclusion chromatography (SEC), and mass spectrometry.</w:t>
      </w:r>
    </w:p>
    <w:p/>
    <w:p>
      <w:r>
        <w:t>The binding affinity of BSP-10-CIBISATAMAB for different CEA glycoforms is measured using surface plasmon resonance (SPR). CEA glycoforms are obtained from various sources, including purified CEA from CRC cell lines, purified CEA from normal colon tissue, and synthetic CEA glycopeptides. The SPR data confirm that BSP-10-CIBISATAMAB binds to CEA with high affinity and specificity.  The data also demonstrate that BSP-10-CIBISATAMAB exhibits glycoform-selective binding, with a significantly higher affinity for tumor-associated CEA glycoforms compared to normal CEA glycoforms.</w:t>
      </w:r>
    </w:p>
    <w:p/>
    <w:p>
      <w:r>
        <w:t>The ability of BSP-10-CIBISATAMAB to activate T cells is assessed using a cell-based assay. T cells are co-cultured with CEA-expressing tumor cells in the presence of BSP-10-CIBISATAMAB. T cell activation is measured by quantifying the production of cytokines, such as interferon-gamma (IFN-γ) and tumor necrosis factor-alpha (TNF-α). The results show that BSP-10-CIBISATAMAB effectively activates T cells in the presence of CEA-expressing tumor cells.</w:t>
      </w:r>
    </w:p>
    <w:p/>
    <w:p>
      <w:r>
        <w:t>The cytotoxicity of BSP-10-CIBISATAMAB is assessed using a cell-based cytotoxicity assay. CEA-expressing tumor cells are co-cultured with T cells in the presence of BSP-10-CIBISATAMAB. Tumor cell killing is measured by quantifying the release of lactate dehydrogenase (LDH). The results show that BSP-10-CIBISATAMAB effectively mediates T cell-mediated killing of CEA-expressing tumor cells.</w:t>
      </w:r>
    </w:p>
    <w:p/>
    <w:p>
      <w:r>
        <w:t>**Example 3: Clinical Application**</w:t>
      </w:r>
    </w:p>
    <w:p/>
    <w:p>
      <w:r>
        <w:t>A Phase 1 clinical trial is conducted to evaluate the safety and efficacy of BSP-10-CIBISATAMAB in patients with advanced colorectal cancer. Patients are treated with escalating doses of BSP-10-CIBISATAMAB. The primary endpoint of the trial is safety and tolerability. Secondary endpoints include objective response rate (ORR), progression-free survival (PFS), and overall survival (OS).</w:t>
      </w:r>
    </w:p>
    <w:p/>
    <w:p>
      <w:r>
        <w:t>Patients treated with BSP-10-CIBISATAMAB show promising anti-tumor activity. The ORR is significantly higher than that observed with standard chemotherapy.  Importantly, the incidence of gastrointestinal toxicity is significantly lower than that observed with cibisatamab. These results demonstrate that BSP-10-CIBISATAMAB is a safe and effective therapy for advanced colorectal cancer.</w:t>
      </w:r>
    </w:p>
    <w:p/>
    <w:p>
      <w:r>
        <w:t>8.  CLAIMS</w:t>
      </w:r>
    </w:p>
    <w:p/>
    <w:p>
      <w:r>
        <w:t>9.  A bispecific antibody, designated BSP-10-CIBISATAMAB, comprising:</w:t>
      </w:r>
    </w:p>
    <w:p/>
    <w:p>
      <w:r>
        <w:t xml:space="preserve">    (a) an anti-CEA arm that binds to carcinoembryonic antigen (CEA); and</w:t>
      </w:r>
    </w:p>
    <w:p/>
    <w:p>
      <w:r>
        <w:t xml:space="preserve">    (b) an anti-CD3 arm that binds to CD3;</w:t>
      </w:r>
    </w:p>
    <w:p/>
    <w:p>
      <w:r>
        <w:t xml:space="preserve">    wherein the anti-CEA arm exhibits glycoform-selective binding to CEA, preferentially binding to CEA glycoforms that are enriched on tumor cells compared to CEA glycoforms present on normal epithelial cells of the gastrointestinal tract.</w:t>
      </w:r>
    </w:p>
    <w:p/>
    <w:p>
      <w:r>
        <w:t>10. The bispecific antibody of claim 1, wherein the CEA glycoforms that are enriched on tumor cells are characterized by increased branching and sialylation compared to CEA glycoforms present on normal epithelial cells of the gastrointestinal tract.</w:t>
      </w:r>
    </w:p>
    <w:p/>
    <w:p>
      <w:r>
        <w:t>11. The bispecific antibody of claim 1, wherein the anti-CEA arm comprises a variable heavy (VH) chain comprising the amino acid sequence of SEQ ID NO: 1 and a variable light (VL) chain comprising the amino acid sequence of SEQ ID NO: 5.</w:t>
      </w:r>
    </w:p>
    <w:p/>
    <w:p>
      <w:r>
        <w:t>12. The bispecific antibody of claim 1, wherein the anti-CD3 arm comprises a variable heavy (VH) chain comprising the amino acid sequence of SEQ ID NO: 9 and a variable light (VL) chain comprising the amino acid sequence of SEQ ID NO: 13.</w:t>
      </w:r>
    </w:p>
    <w:p/>
    <w:p>
      <w:r>
        <w:t>13. The bispecific antibody of claim 1, wherein the anti-CEA arm comprises one or more amino acid modifications that enhance affinity for tumor-associated CEA glycoforms.</w:t>
      </w:r>
    </w:p>
    <w:p/>
    <w:p>
      <w:r>
        <w:t>14. The bispecific antibody of claim 1, wherein the anti-CEA arm comprises one or more amino acid modifications that reduce affinity for CEA glycoforms present on normal epithelial cells of the gastrointestinal tract.</w:t>
      </w:r>
    </w:p>
    <w:p/>
    <w:p>
      <w:r>
        <w:t>15. The bispecific antibody of claim 1, wherein the bispecific antibody is an IgG-like antibody, a tandem scFv, or a dual-variable domain immunoglobulin (DVD-Ig).</w:t>
      </w:r>
    </w:p>
    <w:p/>
    <w:p>
      <w:r>
        <w:t>16.  A nucleic acid molecule encoding the bispecific antibody of claim 1.</w:t>
      </w:r>
    </w:p>
    <w:p/>
    <w:p>
      <w:r>
        <w:t>17.  A vector comprising the nucleic acid molecule of claim 8.</w:t>
      </w:r>
    </w:p>
    <w:p/>
    <w:p>
      <w:r>
        <w:t>18.  A host cell transformed with the vector of claim 9.</w:t>
      </w:r>
    </w:p>
    <w:p/>
    <w:p>
      <w:r>
        <w:t>19.  A method of producing the bispecific antibody of claim 1, comprising culturing the host cell of claim 10 under conditions that allow for the expression of the antibody and purifying the antibody from the cell culture supernatant.</w:t>
      </w:r>
    </w:p>
    <w:p/>
    <w:p>
      <w:r>
        <w:t>20.  A pharmaceutical composition comprising the bispecific antibody of claim 1 and a pharmaceutically acceptable carrier.</w:t>
      </w:r>
    </w:p>
    <w:p/>
    <w:p>
      <w:r>
        <w:t>21.  A method of treating cancer comprising administering to a subject in need thereof a therapeutically effective amount of the bispecific antibody of claim 1.</w:t>
      </w:r>
    </w:p>
    <w:p/>
    <w:p>
      <w:r>
        <w:t>22.  The method of claim 13, wherein the cancer is colorectal cancer, gastric cancer, pancreatic cancer, lung cancer, or breast cancer.</w:t>
      </w:r>
    </w:p>
    <w:p/>
    <w:p>
      <w:r>
        <w:t>23.  The method of claim 13, wherein the administration of the bispecific antibody results in reduced gastrointestinal toxicity compared to administration of a non-glycoform-selective CEA-targeting antibody.</w:t>
      </w:r>
    </w:p>
    <w:p/>
    <w:p>
      <w:r>
        <w:t>24.  A method of detecting CEA-expressing cancer cells in a sample, comprising:</w:t>
      </w:r>
    </w:p>
    <w:p/>
    <w:p>
      <w:r>
        <w:t xml:space="preserve">    (a) contacting the sample with the bispecific antibody of claim 1; and</w:t>
      </w:r>
    </w:p>
    <w:p/>
    <w:p>
      <w:r>
        <w:t xml:space="preserve">    (b) detecting the binding of the antibody to CEA-expressing cancer cells in the sample.</w:t>
      </w:r>
    </w:p>
    <w:p/>
    <w:p>
      <w:r>
        <w:t>25.  The method of claim 16, wherein the sample is a tissue sample or a bodily fluid.</w:t>
      </w:r>
    </w:p>
    <w:p/>
    <w:p>
      <w:r>
        <w:t>26.  The method of claim 16, wherein the method is immunohistochemistry (IHC) or enzyme-linked immunosorbent assay (ELISA).</w:t>
      </w:r>
    </w:p>
    <w:p/>
    <w:p>
      <w:r>
        <w:t>27.  A method of reducing gastrointestinal toxicity in a subject undergoing CEA-targeted immunotherapy, comprising administering the bispecific antibody of claim 1 in place of a non-glycoform-selective CEA-targeting antibody.</w:t>
      </w:r>
    </w:p>
    <w:p/>
    <w:p>
      <w:r>
        <w:t>28. The bispecific antibody of claim 1, wherein the binding affinity for tumor-associated CEA glycoforms is at least 5-fold higher than the binding affinity for CEA glycoforms present on normal epithelial cells of the GI tract.</w:t>
      </w:r>
    </w:p>
    <w:p/>
    <w:p>
      <w:r>
        <w:t>29. ABSTRACT</w:t>
      </w:r>
    </w:p>
    <w:p/>
    <w:p>
      <w:r>
        <w:t>A novel glycoform-selective anti-CEA × anti-CD3 bispecific antibody (BSP-10-CIBISATAMAB) is disclosed. This antibody is engineered to preferentially bind to tumor-associated CEA glycoforms while minimizing binding to CEA expressed in normal gastrointestinal tissue, thereby reducing GI toxicity. The antibody comprises an anti-CEA arm with specific amino acid modifications that enhance affinity for tumor-associated CEA glycoforms and an anti-CD3 arm that binds to CD3 on T cells. The invention also encompasses nucleic acid molecules encoding the antibody, vectors comprising the nucleic acid molecules, host cells transformed with the vectors, and methods of producing and using the antibody for the treatment of colorectal cancer and other CEA-expressing cancers. Diagnostic methods using the antibody are also disclosed.</w:t>
      </w:r>
    </w:p>
    <w:p>
      <w: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