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 PATENT APPLICATION</w:t>
      </w:r>
    </w:p>
    <w:p/>
    <w:p>
      <w:r>
        <w:t>## 1. TITLE:  OPTIMIZED BISPECIFIC ANTIBODIES TARGETING PD-1 AND CTLA-4 FOR CANCER IMMUNOTHERAPY</w:t>
      </w:r>
    </w:p>
    <w:p/>
    <w:p>
      <w:r>
        <w:t>## 2. CROSS-REFERENCE TO RELATED APPLICATIONS</w:t>
      </w:r>
    </w:p>
    <w:p/>
    <w:p>
      <w:r>
        <w:t>This application claims the benefit of U.S. Provisional Application No. [Assign Serial Number Here], filed [Assign Filing Date Here], and entitled “OPTIMIZED BISPECIFIC ANTIBODIES TARGETING PD-1 AND CTLA-4 FOR CANCER IMMUNOTHERAPY,” the contents of which are incorporated herein by reference in their entirety.</w:t>
      </w:r>
    </w:p>
    <w:p/>
    <w:p>
      <w:r>
        <w:t>## 3. FIELD OF THE INVENTION</w:t>
      </w:r>
    </w:p>
    <w:p/>
    <w:p>
      <w:r>
        <w:t>The present invention relates generally to the fields of immunology, oncology, and protein engineering. More specifically, it relates to novel, optimized bispecific antibodies targeting Programmed cell Death protein 1 (PD-1) and Cytotoxic T-Lymphocyte Antigen 4 (CTLA-4), compositions thereof, and methods of use thereof, for the treatment of cancer.  The invention further pertains to methods of identifying and producing such antibodies with improved properties, including reduced immunogenicity, enhanced stability, and improved manufacturability.</w:t>
      </w:r>
    </w:p>
    <w:p/>
    <w:p>
      <w:r>
        <w:t>## 4. BACKGROUND OF THE INVENTION</w:t>
      </w:r>
    </w:p>
    <w:p/>
    <w:p>
      <w:r>
        <w:t>Immunotherapy has revolutionized cancer treatment by harnessing the power of the patient's own immune system to fight tumors.  Immune checkpoint inhibitors, such as antibodies that block PD-1 and CTLA-4, have shown remarkable clinical efficacy in a variety of cancers.</w:t>
      </w:r>
    </w:p>
    <w:p/>
    <w:p>
      <w:r>
        <w:t>PD-1 and CTLA-4 are key inhibitory receptors expressed on T cells. PD-1 primarily functions in the tumor microenvironment (TME), where it interacts with its ligands, PD-L1 and PD-L2, expressed on tumor cells and antigen-presenting cells (APCs).  This interaction suppresses T-cell activation and effector function, allowing tumor cells to evade immune destruction. CTLA-4, on the other hand, primarily functions in the lymph nodes, where it competes with the co-stimulatory molecule CD28 for binding to B7 ligands on APCs.  CTLA-4 binding to B7 ligands inhibits T-cell activation and promotes the development of regulatory T cells (Tregs), which suppress anti-tumor immunity.</w:t>
      </w:r>
    </w:p>
    <w:p/>
    <w:p>
      <w:r>
        <w:t>Blocking either PD-1 or CTLA-4 can enhance T-cell activation and anti-tumor immunity.  However, dual blockade of both PD-1 and CTLA-4 can provide a synergistic effect, leading to a more robust and durable anti-tumor response.  This is because PD-1 and CTLA-4 act through distinct mechanisms and at different stages of the immune response.</w:t>
      </w:r>
    </w:p>
    <w:p/>
    <w:p>
      <w:r>
        <w:t>Bispecific antibodies (bsAbs) targeting both PD-1 and CTLA-4 offer the potential to simultaneously block both immune checkpoints, maximizing anti-tumor efficacy.  Cadonilimab (AK104) is one such bispecific antibody that has shown clinical activity in various cancers.  However, like other therapeutic antibodies, Cadonilimab (AK104) is associated with potential immunogenicity and developability challenges, such as aggregation and suboptimal solubility.  These challenges can limit its clinical utility and increase manufacturing costs.</w:t>
      </w:r>
    </w:p>
    <w:p/>
    <w:p>
      <w:r>
        <w:t>Immunogenicity arises from the antibody's potential to elicit an unwanted immune response in the patient.  This can lead to the formation of anti-drug antibodies (ADAs), which can neutralize the therapeutic antibody, reduce its efficacy, and even cause adverse events. Aggregation refers to the tendency of antibody molecules to self-associate and form large, insoluble aggregates.  These aggregates can reduce the stability and shelf-life of the antibody product, and they can also trigger an immune response. Suboptimal solubility can hinder formulation efforts to create high concentrations of the drug for administration.</w:t>
      </w:r>
    </w:p>
    <w:p/>
    <w:p>
      <w:r>
        <w:t>Therefore, there is a need for optimized bispecific antibodies targeting PD-1 and CTLA-4 that have improved properties compared to existing antibodies, such as reduced immunogenicity, enhanced stability, and improved manufacturability.  The present invention addresses this need by providing novel, optimized bispecific antibodies that are designed to overcome these limitations.</w:t>
      </w:r>
    </w:p>
    <w:p/>
    <w:p>
      <w:r>
        <w:t>## 5. BRIEF SUMMARY OF THE INVENTION</w:t>
      </w:r>
    </w:p>
    <w:p/>
    <w:p>
      <w:r>
        <w:t>The present invention provides novel, optimized bispecific antibodies (bsAbs) that specifically bind to both PD-1 and CTLA-4. These optimized bsAbs are designed to have improved properties compared to existing anti-PD-1/CTLA-4 bsAbs, such as Cadonilimab (AK104).  Specifically, the optimized bsAbs of the invention exhibit reduced immunogenicity, enhanced stability, and improved manufacturability.</w:t>
      </w:r>
    </w:p>
    <w:p/>
    <w:p>
      <w:r>
        <w:t>In one aspect, the invention provides a bispecific antibody comprising:</w:t>
      </w:r>
    </w:p>
    <w:p/>
    <w:p>
      <w:r>
        <w:t>*   A first antigen-binding region that specifically binds to PD-1; and</w:t>
      </w:r>
    </w:p>
    <w:p>
      <w:r>
        <w:t>*   A second antigen-binding region that specifically binds to CTLA-4;</w:t>
      </w:r>
    </w:p>
    <w:p/>
    <w:p>
      <w:r>
        <w:t>wherein the bispecific antibody comprises one or more amino acid substitutions that reduce immunogenicity and/or enhance stability and/or improve manufacturability compared to Cadonilimab (AK104).  The substitutions are located in the variable region (VH or VL) and/or the constant region (CH or CL) of the antibody.</w:t>
      </w:r>
    </w:p>
    <w:p/>
    <w:p>
      <w:r>
        <w:t>In another aspect, the invention provides isolated nucleic acid molecules encoding the bispecific antibodies of the invention. These nucleic acid molecules can be used to produce the antibodies using recombinant DNA technology.</w:t>
      </w:r>
    </w:p>
    <w:p/>
    <w:p>
      <w:r>
        <w:t>In another aspect, the invention provides vectors and host cells comprising the nucleic acid molecules of the invention.  These vectors and host cells can be used to express the antibodies of the invention.</w:t>
      </w:r>
    </w:p>
    <w:p/>
    <w:p>
      <w:r>
        <w:t>In another aspect, the invention provides pharmaceutical compositions comprising the bispecific antibodies of the invention and a pharmaceutically acceptable carrier.  These pharmaceutical compositions can be used to treat cancer.</w:t>
      </w:r>
    </w:p>
    <w:p/>
    <w:p>
      <w:r>
        <w:t>In another aspect, the invention provides methods of treating cancer comprising administering to a subject in need thereof a therapeutically effective amount of a pharmaceutical composition comprising a bispecific antibody of the invention.</w:t>
      </w:r>
    </w:p>
    <w:p/>
    <w:p>
      <w:r>
        <w:t>In another aspect, the invention provides methods of identifying optimized bispecific antibodies with reduced immunogenicity, enhanced stability, and improved manufacturability.  These methods involve using computational tools, such as AlphaFold3 (Boltz-2), ProteinMPNN, RFdiffusion, Aggrescan3D, NetSolP, ThermoMPNN, and DeepImmuno, to design and evaluate antibody variants.</w:t>
      </w:r>
    </w:p>
    <w:p/>
    <w:p>
      <w:r>
        <w:t>In one embodiment, the invention provides a method of selecting a bispecific antibody with reduced immunogenicity, comprising:</w:t>
      </w:r>
    </w:p>
    <w:p/>
    <w:p>
      <w:r>
        <w:t>*   Generating a plurality of bispecific antibody variants, each variant comprising one or more amino acid substitutions compared to a reference bispecific antibody (e.g., Cadonilimab (AK104));</w:t>
      </w:r>
    </w:p>
    <w:p>
      <w:r>
        <w:t>*   Predicting the immunogenicity of each bispecific antibody variant using a computational tool, such as DeepImmuno; and</w:t>
      </w:r>
    </w:p>
    <w:p>
      <w:r>
        <w:t>*   Selecting a bispecific antibody variant with a lower predicted immunogenicity score compared to the reference bispecific antibody.</w:t>
      </w:r>
    </w:p>
    <w:p/>
    <w:p>
      <w:r>
        <w:t>In another embodiment, the invention provides a method of selecting a bispecific antibody with enhanced stability, comprising:</w:t>
      </w:r>
    </w:p>
    <w:p/>
    <w:p>
      <w:r>
        <w:t>*   Generating a plurality of bispecific antibody variants, each variant comprising one or more amino acid substitutions compared to a reference bispecific antibody (e.g., Cadonilimab (AK104));</w:t>
      </w:r>
    </w:p>
    <w:p>
      <w:r>
        <w:t>*   Predicting the stability of each bispecific antibody variant using a computational tool, such as ProteinMPNN, RFdiffusion, ThermoMPNN or Aggrescan3D; and</w:t>
      </w:r>
    </w:p>
    <w:p>
      <w:r>
        <w:t>*   Selecting a bispecific antibody variant with a higher predicted stability score and/or reduced aggregation score compared to the reference bispecific antibody.</w:t>
      </w:r>
    </w:p>
    <w:p/>
    <w:p>
      <w:r>
        <w:t>In another embodiment, the invention provides a method of selecting a bispecific antibody with improved manufacturability, comprising:</w:t>
      </w:r>
    </w:p>
    <w:p/>
    <w:p>
      <w:r>
        <w:t>*   Generating a plurality of bispecific antibody variants, each variant comprising one or more amino acid substitutions compared to a reference bispecific antibody (e.g., Cadonilimab (AK104));</w:t>
      </w:r>
    </w:p>
    <w:p>
      <w:r>
        <w:t>*   Predicting the solubility of each bispecific antibody variant using a computational tool, such as NetSolP; and</w:t>
      </w:r>
    </w:p>
    <w:p>
      <w:r>
        <w:t>*   Selecting a bispecific antibody variant with a higher predicted solubility score compared to the reference bispecific antibody.</w:t>
      </w:r>
    </w:p>
    <w:p/>
    <w:p>
      <w:r>
        <w:t>These and other aspects and embodiments of the invention are described in detail below.</w:t>
      </w:r>
    </w:p>
    <w:p/>
    <w:p>
      <w:r>
        <w:t>## 6. DETAILED DESCRIPTION OF THE INVENTION</w:t>
      </w:r>
    </w:p>
    <w:p/>
    <w:p>
      <w:r>
        <w:t>The present invention provides optimized bispecific antibodies (bsAbs) targeting PD-1 and CTLA-4. These optimized bsAbs are designed to have improved properties compared to existing anti-PD-1/CTLA-4 bsAbs, such as Cadonilimab (AK104).  Specifically, the optimized bsAbs of the invention exhibit reduced immunogenicity, enhanced stability, and improved manufacturability.  The invention encompasses the antibodies themselves, nucleic acids encoding them, vectors and host cells for their production, pharmaceutical compositions comprising them, and methods of using them to treat cancer.  The invention also encompasses methods for identifying and producing such optimized antibodies.</w:t>
      </w:r>
    </w:p>
    <w:p/>
    <w:p>
      <w:r>
        <w:t>### 6.1 Definitions</w:t>
      </w:r>
    </w:p>
    <w:p/>
    <w:p>
      <w:r>
        <w:t>As used herein, the following terms have the meanings ascribed to them unless otherwise specified.</w:t>
      </w:r>
    </w:p>
    <w:p/>
    <w:p>
      <w:r>
        <w:t>*   **"Antibody"** refers to a protein comprising one or more polypeptides substantially encoded by immunoglobulin genes that specifically binds an antigen. The recognized immunoglobulin genes include the kappa, lambda, alpha, gamma, delta, epsilon, and mu constant region genes, as well as the myriad immunoglobulin variable region genes. Antibodies exist in several forms, including, for example, full-length antibodies (e.g., an IgG antibody), antibody fragments (e.g., a Fab, F(ab')2, Fv, or scFv fragment), and bispecific antibodies.</w:t>
      </w:r>
    </w:p>
    <w:p>
      <w:r>
        <w:t>*   **"Bispecific antibody"** refers to an antibody that binds to two different epitopes or two different antigens.  In the context of this invention, the bispecific antibodies bind to both PD-1 and CTLA-4.</w:t>
      </w:r>
    </w:p>
    <w:p>
      <w:r>
        <w:t>*   **"PD-1"** refers to Programmed cell Death protein 1, also known as CD279.  PD-1 is an inhibitory receptor expressed on T cells that interacts with its ligands, PD-L1 and PD-L2, to suppress T-cell activation and effector function.  The human PD-1 amino acid sequence is publicly available (e.g., NCBI Reference Sequence: NP_005003.2).</w:t>
      </w:r>
    </w:p>
    <w:p>
      <w:r>
        <w:t>*   **"CTLA-4"** refers to Cytotoxic T-Lymphocyte Antigen 4, also known as CD152.  CTLA-4 is an inhibitory receptor expressed on T cells that competes with CD28 for binding to B7 ligands on APCs.  CTLA-4 binding to B7 ligands inhibits T-cell activation and promotes the development of regulatory T cells (Tregs). The human CTLA-4 amino acid sequence is publicly available (e.g., NCBI Reference Sequence: NP_005205.2).</w:t>
      </w:r>
    </w:p>
    <w:p>
      <w:r>
        <w:t>*   **"Immunogenicity"** refers to the ability of a substance (e.g., an antibody) to elicit an immune response in a subject.  An antibody with low immunogenicity is less likely to induce the formation of anti-drug antibodies (ADAs).</w:t>
      </w:r>
    </w:p>
    <w:p>
      <w:r>
        <w:t>*   **"Stability"** refers to the resistance of a protein (e.g., an antibody) to aggregation and degradation.  A stable antibody is less likely to aggregate or degrade under various storage and handling conditions.</w:t>
      </w:r>
    </w:p>
    <w:p>
      <w:r>
        <w:t>*   **"Manufacturability"** refers to the ease with which a protein (e.g., an antibody) can be produced at scale.  An antibody with good manufacturability can be produced efficiently and cost-effectively.  Key factors that affect manufacturability include expression levels, solubility, and aggregation propensity.</w:t>
      </w:r>
    </w:p>
    <w:p>
      <w:r>
        <w:t>*   **"Cadonilimab (AK104)"** refers to a bispecific antibody targeting PD-1 and CTLA-4 that has been approved for clinical use.  The sequences of Cadonilimab (AK104) are publicly available in patent applications and scientific publications. While a specific sequence listing is omitted here for brevity, one skilled in the art can readily obtain the sequences using publicly available information. The optimized antibodies of the present invention are designed to have improved properties compared to Cadonilimab (AK104).</w:t>
      </w:r>
    </w:p>
    <w:p>
      <w:r>
        <w:t>*   **"Amino acid substitution"** or "mutation" refers to the replacement of one amino acid residue with a different amino acid residue in a protein sequence. Amino acid substitutions can be conservative (e.g., replacing one hydrophobic amino acid with another hydrophobic amino acid) or non-conservative (e.g., replacing a hydrophobic amino acid with a charged amino acid).</w:t>
      </w:r>
    </w:p>
    <w:p>
      <w:r>
        <w:t>*   **"Variable region"** refers to the portion of an antibody that is responsible for antigen binding.  The variable region comprises the VH and VL domains, which contain the complementarity-determining regions (CDRs).</w:t>
      </w:r>
    </w:p>
    <w:p>
      <w:r>
        <w:t>*   **"Constant region"** refers to the portion of an antibody that is not directly involved in antigen binding.  The constant region mediates effector functions, such as antibody-dependent cell-mediated cytotoxicity (ADCC) and complement-dependent cytotoxicity (CDC).</w:t>
      </w:r>
    </w:p>
    <w:p>
      <w:r>
        <w:t>*   **"Complementarity-determining region (CDR)"** refers to the hypervariable regions within the variable regions of antibodies, which form the antigen-binding site. There are typically three CDRs in each VH and VL domain (CDR1, CDR2, and CDR3).</w:t>
      </w:r>
    </w:p>
    <w:p>
      <w:r>
        <w:t>*   **"Framework region (FR)"** refers to the regions within the variable regions of antibodies that are located outside of the CDRs.  The framework regions provide structural support for the CDRs.</w:t>
      </w:r>
    </w:p>
    <w:p>
      <w:r>
        <w:t>*   **"Isolated nucleic acid molecule"** refers to a nucleic acid molecule that is not immediately contiguous with both of the coding sequences with which it is normally associated in the naturally occurring genome from which it is derived. The term therefore includes, for example, a recombinant DNA which is incorporated into a vector; into an autonomously replicating plasmid or virus; or into the genomic DNA of a prokaryote or eukaryote; or which exists as a separate molecule (e.g., a cDNA or a genomic or cDNA fragment produced by PCR or restriction endonuclease digestion) independent of other sequences.</w:t>
      </w:r>
    </w:p>
    <w:p>
      <w:r>
        <w:t>*   **"Vector"** refers to a nucleic acid molecule capable of transporting another nucleic acid to which it has been linked. One type of vector is a "plasmid," which refers to a circular double stranded DNA loop into which additional DNA segments can be ligated. Another type of vector is a viral vector, wherein additional DNA segments can be ligated into the viral genome. Certain vectors are capable of autonomous replication in a host cell into which they are introduced (e.g., bacterial vectors having a bacterial origin of replication and episomal mammalian vectors). Other vectors can be integrated into the genome of a host cell upon introduction, and are thereby replicated along with the host genome. Moreover, certain vectors are capable of directing the expression of genes to which they are operatively linked. Such vectors are referred to herein as "expression vectors."</w:t>
      </w:r>
    </w:p>
    <w:p>
      <w:r>
        <w:t>*   **"Host cell"** refers to a cell that has been transformed, or is capable of being transformed, with a nucleic acid sequence and thereby expresses a gene of interest. The term includes progeny of a host cell. It is understood that not all progeny are exactly identical to the parental cell, due to mutations that may occur during replication. However, such progeny are included when the term "host cell" is used.</w:t>
      </w:r>
    </w:p>
    <w:p>
      <w:r>
        <w:t>*   **"Pharmaceutical composition"** refers to a preparation of one or more of the active ingredients described herein with other chemical components such as physiologically suitable carriers and excipients. The purpose of a pharmaceutical composition is to facilitate administration of a compound to an organism.</w:t>
      </w:r>
    </w:p>
    <w:p>
      <w:r>
        <w:t>*   **"Therapeutically effective amount"** refers to an amount of a substance that is sufficient to achieve a desired therapeutic effect.</w:t>
      </w:r>
    </w:p>
    <w:p>
      <w:r>
        <w:t>*   **"Subject"** refers to an animal, preferably a mammal, and most preferably a human.</w:t>
      </w:r>
    </w:p>
    <w:p>
      <w:r>
        <w:t>*   **"Cancer"** refers to a disease characterized by uncontrolled cell growth.  Cancers that can be treated with the bispecific antibodies of the invention include, but are not limited to, cervical cancer, gastric cancer, lung cancer, melanoma, breast cancer, colon cancer, and prostate cancer.</w:t>
      </w:r>
    </w:p>
    <w:p/>
    <w:p>
      <w:r>
        <w:t>### 6.2 Optimized Bispecific Antibodies</w:t>
      </w:r>
    </w:p>
    <w:p/>
    <w:p>
      <w:r>
        <w:t>The present invention provides optimized bispecific antibodies (bsAbs) that specifically bind to both PD-1 and CTLA-4. These optimized bsAbs are designed to have improved properties compared to existing anti-PD-1/CTLA-4 bsAbs, such as Cadonilimab (AK104).  Specifically, the optimized bsAbs of the invention exhibit reduced immunogenicity, enhanced stability, and improved manufacturability.</w:t>
      </w:r>
    </w:p>
    <w:p/>
    <w:p>
      <w:r>
        <w:t>The bsAbs of the invention comprise a first antigen-binding region that specifically binds to PD-1 and a second antigen-binding region that specifically binds to CTLA-4.  The antigen-binding regions can be derived from any suitable source, such as human, mouse, or chimeric antibodies. Preferably, the antigen-binding regions are humanized to minimize immunogenicity in humans.</w:t>
      </w:r>
    </w:p>
    <w:p/>
    <w:p>
      <w:r>
        <w:t>The bsAbs of the invention can be of any suitable format, such as IgG-like, Fab-based, or scFv-based.  In a preferred embodiment, the bsAbs are IgG-like, meaning that they have a similar structure to a full-length IgG antibody. This format is well-characterized and has good stability and effector function.  The IgG-like bsAbs can be produced using various methods known in the art, such as quadroma technology, chemical conjugation, or recombinant DNA technology.</w:t>
      </w:r>
    </w:p>
    <w:p/>
    <w:p>
      <w:r>
        <w:t>The key feature of the optimized bsAbs of the invention is that they comprise one or more amino acid substitutions that reduce immunogenicity and/or enhance stability and/or improve manufacturability compared to Cadonilimab (AK104).  These substitutions are located in the variable region (VH or VL) and/or the constant region (CH or CL) of the antibody.</w:t>
      </w:r>
    </w:p>
    <w:p/>
    <w:p>
      <w:r>
        <w:t>The location and nature of the amino acid substitutions are determined based on a combination of computational modeling, sequence analysis, and experimental data.  Computational tools, such as AlphaFold3 (Boltz-2), ProteinMPNN, RFdiffusion, Aggrescan3D, NetSolP, ThermoMPNN, and DeepImmuno, are used to predict the impact of different amino acid substitutions on immunogenicity, stability, and manufacturability.</w:t>
      </w:r>
    </w:p>
    <w:p/>
    <w:p>
      <w:r>
        <w:t>#### 6.2.1 Specific Examples of Amino Acid Substitutions</w:t>
      </w:r>
    </w:p>
    <w:p/>
    <w:p>
      <w:r>
        <w:t>While the specific amino acid substitutions will vary depending on the particular antibody sequence and the desired properties, some general principles and examples are provided below:</w:t>
      </w:r>
    </w:p>
    <w:p/>
    <w:p>
      <w:r>
        <w:t>*   **Reduced Immunogenicity:** Amino acid substitutions that reduce immunogenicity are typically located in regions of the antibody that are likely to interact with the immune system, such as the CDRs or the framework regions.  These substitutions are designed to reduce the presentation of antibody-derived peptides on MHC molecules and/or to reduce the binding of antibodies to T-cell receptors (TCRs). Examples of amino acid substitutions that can reduce immunogenicity include replacing hydrophobic amino acids with hydrophilic amino acids, replacing charged amino acids with neutral amino acids, and removing glycosylation sites.  Specific examples include substitutions of alanine for lysine residues in predicted MHC binding pockets, or the removal of asparagine-linked glycosylation motifs (N-X-S/T, where X is any amino acid except proline) via substitution of asparagine with glutamine.</w:t>
      </w:r>
    </w:p>
    <w:p/>
    <w:p>
      <w:r>
        <w:t>*   **Enhanced Stability:** Amino acid substitutions that enhance stability are typically located in regions of the antibody that are prone to aggregation or degradation.  These substitutions are designed to increase the hydrophobic interactions within the antibody molecule, to reduce the formation of intermolecular disulfide bonds, and/or to increase the resistance of the antibody to proteolysis. Examples of amino acid substitutions that can enhance stability include replacing glycine with alanine, replacing asparagine with threonine, and introducing a disulfide bond between two cysteine residues. For example, proline residues can be introduced near or within aggregation-prone regions as predicted by Aggrescan3D.</w:t>
      </w:r>
    </w:p>
    <w:p/>
    <w:p>
      <w:r>
        <w:t>*   **Improved Manufacturability:** Amino acid substitutions that improve manufacturability are typically located in regions of the antibody that affect its expression level, solubility, or aggregation propensity.  These substitutions are designed to increase the expression level of the antibody in host cells, to increase the solubility of the antibody in aqueous solutions, and/or to reduce the tendency of the antibody to aggregate.  Examples of amino acid substitutions that can improve manufacturability include replacing hydrophobic amino acids with hydrophilic amino acids, replacing charged amino acids with neutral amino acids, and introducing a charged amino acid near a hydrophobic patch. Further examples include substitution of surface exposed hydrophobic residues to increase solubility, or alteration of residues near the Fc region to improve binding to Protein A or other chromatography resins used in manufacturing.</w:t>
      </w:r>
    </w:p>
    <w:p/>
    <w:p>
      <w:r>
        <w:t>In one specific embodiment, the optimized bispecific antibody comprises one or more amino acid substitutions selected from the group consisting of:</w:t>
      </w:r>
    </w:p>
    <w:p/>
    <w:p>
      <w:r>
        <w:t>*   Substitution of a lysine residue with an alanine residue in a predicted MHC binding pocket in the VH or VL domain.</w:t>
      </w:r>
    </w:p>
    <w:p>
      <w:r>
        <w:t>*   Substitution of an asparagine residue with a glutamine residue to remove a glycosylation site in the CH or CL domain.</w:t>
      </w:r>
    </w:p>
    <w:p>
      <w:r>
        <w:t>*   Substitution of a glycine residue with an alanine residue in a flexible loop in the VH or VL domain.</w:t>
      </w:r>
    </w:p>
    <w:p>
      <w:r>
        <w:t>*   Substitution of an asparagine residue with a threonine residue in the CH or CL domain to increase stability.</w:t>
      </w:r>
    </w:p>
    <w:p>
      <w:r>
        <w:t>*   Substitution of a hydrophobic residue with a hydrophilic residue on the surface of the VH or VL domain to improve solubility.</w:t>
      </w:r>
    </w:p>
    <w:p>
      <w:r>
        <w:t>*   Introduction of a proline residue near or within an aggregation-prone region as predicted by Aggrescan3D.</w:t>
      </w:r>
    </w:p>
    <w:p/>
    <w:p>
      <w:r>
        <w:t>It should be understood that these are just examples, and that other amino acid substitutions can also be used to optimize the properties of the bispecific antibodies of the invention.</w:t>
      </w:r>
    </w:p>
    <w:p/>
    <w:p>
      <w:r>
        <w:t>#### 6.2.2 Antibody Sequences</w:t>
      </w:r>
    </w:p>
    <w:p/>
    <w:p>
      <w:r>
        <w:t>The invention encompasses optimized bispecific antibodies with specific amino acid sequences in their variable and constant regions. While the exact sequences will vary depending on the desired properties and the starting antibody sequence (e.g., Cadonilimab (AK104)), the following principles apply:</w:t>
      </w:r>
    </w:p>
    <w:p/>
    <w:p>
      <w:r>
        <w:t>*   The variable regions (VH and VL) will contain the CDRs that are responsible for binding to PD-1 and CTLA-4. The sequences of these CDRs can be derived from known anti-PD-1 and anti-CTLA-4 antibodies.</w:t>
      </w:r>
    </w:p>
    <w:p>
      <w:r>
        <w:t>*   The framework regions (FRs) will provide structural support for the CDRs. The sequences of the FRs can be derived from human germline antibody genes to minimize immunogenicity.</w:t>
      </w:r>
    </w:p>
    <w:p>
      <w:r>
        <w:t>*   The constant regions (CH and CL) will mediate effector functions and provide structural stability. The sequences of the constant regions can be derived from human IgG isotypes, such as IgG1 or IgG4.</w:t>
      </w:r>
    </w:p>
    <w:p>
      <w:r>
        <w:t>*   The amino acid substitutions that reduce immunogenicity, enhance stability, and improve manufacturability will be located in the variable and/or constant regions. The location and nature of these substitutions will be determined based on computational modeling and experimental data, as described above.</w:t>
      </w:r>
    </w:p>
    <w:p/>
    <w:p>
      <w:r>
        <w:t>A person skilled in the art can readily design and produce optimized bispecific antibodies with specific amino acid sequences using standard recombinant DNA technology and antibody engineering techniques.</w:t>
      </w:r>
    </w:p>
    <w:p/>
    <w:p>
      <w:r>
        <w:t>### 6.3 Nucleic Acids, Vectors, and Host Cells</w:t>
      </w:r>
    </w:p>
    <w:p/>
    <w:p>
      <w:r>
        <w:t>The present invention also provides isolated nucleic acid molecules encoding the bispecific antibodies of the invention. These nucleic acid molecules can be DNA or RNA, and they can be single-stranded or double-stranded. The nucleic acid molecules can be synthesized chemically or produced using recombinant DNA technology.</w:t>
      </w:r>
    </w:p>
    <w:p/>
    <w:p>
      <w:r>
        <w:t>The nucleic acid molecules of the invention can be used to produce the antibodies using recombinant DNA technology. For example, the nucleic acid molecules can be inserted into a vector, such as a plasmid or a viral vector, and the vector can be introduced into a host cell, such as a bacterial cell, a yeast cell, or a mammalian cell. The host cell can then be cultured under conditions that allow for the expression of the antibody.</w:t>
      </w:r>
    </w:p>
    <w:p/>
    <w:p>
      <w:r>
        <w:t>The invention also provides vectors and host cells comprising the nucleic acid molecules of the invention. The vectors can be any suitable vector that is capable of replicating in the host cell and expressing the antibody. The host cells can be any suitable host cell that is capable of expressing the antibody.</w:t>
      </w:r>
    </w:p>
    <w:p/>
    <w:p>
      <w:r>
        <w:t>In a preferred embodiment, the host cell is a mammalian cell, such as a Chinese hamster ovary (CHO) cell or a human embryonic kidney (HEK) 293 cell. These cells are well-characterized and are widely used for the production of therapeutic antibodies.</w:t>
      </w:r>
    </w:p>
    <w:p/>
    <w:p>
      <w:r>
        <w:t>### 6.4 Pharmaceutical Compositions</w:t>
      </w:r>
    </w:p>
    <w:p/>
    <w:p>
      <w:r>
        <w:t>The present invention also provides pharmaceutical compositions comprising the bispecific antibodies of the invention and a pharmaceutically acceptable carrier. The pharmaceutical compositions can be formulated in any suitable form, such as a liquid solution, a lyophilized powder, or a sustained-release formulation.</w:t>
      </w:r>
    </w:p>
    <w:p/>
    <w:p>
      <w:r>
        <w:t>The pharmaceutically acceptable carrier can be any suitable carrier that is compatible with the bispecific antibody and that is safe for administration to humans. Examples of pharmaceutically acceptable carriers include water, saline, phosphate-buffered saline (PBS), and other aqueous solutions. The pharmaceutical compositions can also contain other ingredients, such as stabilizers, preservatives, and excipients.</w:t>
      </w:r>
    </w:p>
    <w:p/>
    <w:p>
      <w:r>
        <w:t>The pharmaceutical compositions can be administered to a subject by any suitable route, such as intravenous (IV), subcutaneous (SC), or intramuscular (IM) injection. The dosage of the bispecific antibody will vary depending on the subject's weight, age, and medical condition, as well as the type and stage of cancer being treated.</w:t>
      </w:r>
    </w:p>
    <w:p/>
    <w:p>
      <w:r>
        <w:t>### 6.5 Methods of Treatment</w:t>
      </w:r>
    </w:p>
    <w:p/>
    <w:p>
      <w:r>
        <w:t>The present invention also provides methods of treating cancer comprising administering to a subject in need thereof a therapeutically effective amount of a pharmaceutical composition comprising a bispecific antibody of the invention.</w:t>
      </w:r>
    </w:p>
    <w:p/>
    <w:p>
      <w:r>
        <w:t>The bispecific antibodies of the invention can be used to treat a variety of cancers, including but not limited to:</w:t>
      </w:r>
    </w:p>
    <w:p/>
    <w:p>
      <w:r>
        <w:t>*   Cervical cancer</w:t>
      </w:r>
    </w:p>
    <w:p>
      <w:r>
        <w:t>*   Gastric cancer</w:t>
      </w:r>
    </w:p>
    <w:p>
      <w:r>
        <w:t>*   Lung cancer</w:t>
      </w:r>
    </w:p>
    <w:p>
      <w:r>
        <w:t>*   Melanoma</w:t>
      </w:r>
    </w:p>
    <w:p>
      <w:r>
        <w:t>*   Breast cancer</w:t>
      </w:r>
    </w:p>
    <w:p>
      <w:r>
        <w:t>*   Colon cancer</w:t>
      </w:r>
    </w:p>
    <w:p>
      <w:r>
        <w:t>*   Prostate cancer</w:t>
      </w:r>
    </w:p>
    <w:p/>
    <w:p>
      <w:r>
        <w:t>The bispecific antibodies of the invention can be used as a monotherapy or in combination with other cancer therapies, such as chemotherapy, radiation therapy, or other immunotherapies.</w:t>
      </w:r>
    </w:p>
    <w:p/>
    <w:p>
      <w:r>
        <w:t>The therapeutically effective amount of the bispecific antibody will vary depending on the subject's weight, age, and medical condition, as well as the type and stage of cancer being treated. A person skilled in the art can readily determine the appropriate dosage based on clinical trials and other factors.</w:t>
      </w:r>
    </w:p>
    <w:p/>
    <w:p>
      <w:r>
        <w:t>### 6.6 Methods of Identifying Optimized Bispecific Antibodies</w:t>
      </w:r>
    </w:p>
    <w:p/>
    <w:p>
      <w:r>
        <w:t>The present invention also provides methods of identifying optimized bispecific antibodies with reduced immunogenicity, enhanced stability, and improved manufacturability. These methods involve using computational tools, such as AlphaFold3 (Boltz-2), ProteinMPNN, RFdiffusion, Aggrescan3D, NetSolP, ThermoMPNN, and DeepImmuno, to design and evaluate antibody variants.</w:t>
      </w:r>
    </w:p>
    <w:p/>
    <w:p>
      <w:r>
        <w:t>The methods generally involve the following steps:</w:t>
      </w:r>
    </w:p>
    <w:p/>
    <w:p>
      <w:r>
        <w:t>1.  **Generating a plurality of bispecific antibody variants:** This can be done by introducing random mutations into the antibody sequence using techniques such as error-prone PCR or by designing specific mutations based on computational modeling.</w:t>
      </w:r>
    </w:p>
    <w:p>
      <w:r>
        <w:t>2.  **Predicting the immunogenicity, stability, and manufacturability of each bispecific antibody variant:** This can be done using computational tools such as DeepImmuno, ProteinMPNN, RFdiffusion, Aggrescan3D, NetSolP, and ThermoMPNN.</w:t>
      </w:r>
    </w:p>
    <w:p>
      <w:r>
        <w:t>3.  **Selecting a bispecific antibody variant with the desired properties:** This can be done by comparing the predicted immunogenicity, stability, and manufacturability scores of the different variants and selecting the variant with the best overall profile.</w:t>
      </w:r>
    </w:p>
    <w:p>
      <w:r>
        <w:t>4.  **Validating the selected bispecific antibody variant experimentally:** This can be done by producing the antibody and testing its immunogenicity, stability, and manufacturability in vitro and in vivo.</w:t>
      </w:r>
    </w:p>
    <w:p/>
    <w:p>
      <w:r>
        <w:t>## 7. EXAMPLES</w:t>
      </w:r>
    </w:p>
    <w:p/>
    <w:p>
      <w:r>
        <w:t>The following examples are provided to illustrate the invention and are not intended to be limiting.</w:t>
      </w:r>
    </w:p>
    <w:p/>
    <w:p>
      <w:r>
        <w:t>### Example 1: In Silico Validation</w:t>
      </w:r>
    </w:p>
    <w:p/>
    <w:p>
      <w:r>
        <w:t>This example describes the *in silico* validation of BSP-12-CADONILIMAB, an optimized bispecific antibody targeting PD-1 and CTLA-4.</w:t>
      </w:r>
    </w:p>
    <w:p/>
    <w:p>
      <w:r>
        <w:t>#### 1.1. Structural Modeling</w:t>
      </w:r>
    </w:p>
    <w:p/>
    <w:p>
      <w:r>
        <w:t>The structure of BSP-12-CADONILIMAB was modeled using AlphaFold3 (Boltz-2). This tool generates high-accuracy structural models of proteins based on their amino acid sequence. The generated model was used to analyze the binding interfaces between the antibody and its target antigens, PD-1 and CTLA-4. The model was also used to identify potential aggregation hotspots in the antibody sequence. CIF files, multiple sequence alignments (MSA), and confidence scores generated by AlphaFold3 were used for further analysis.</w:t>
      </w:r>
    </w:p>
    <w:p/>
    <w:p>
      <w:r>
        <w:t>#### 1.2. Binding Affinity Prediction</w:t>
      </w:r>
    </w:p>
    <w:p/>
    <w:p>
      <w:r>
        <w:t>The binding affinity of BSP-12-CADONILIMAB to PD-1 and CTLA-4 was predicted using DiffDock-L. This tool predicts the binding pose and affinity of a protein-protein interaction based on the structures of the two proteins. The predicted binding affinity was compared to the binding affinity of Cadonilimab (AK104) to PD-1 and CTLA-4 to assess whether the amino acid substitutions in BSP-12-CADONILIMAB had affected its binding properties.</w:t>
      </w:r>
    </w:p>
    <w:p/>
    <w:p>
      <w:r>
        <w:t>#### 1.3. Sequence Optimization</w:t>
      </w:r>
    </w:p>
    <w:p/>
    <w:p>
      <w:r>
        <w:t>The sequence of BSP-12-CADONILIMAB was optimized using ProteinMPNN and RFdiffusion. These tools perform *de novo* protein design and sequence optimization to improve the stability and reduce the immunogenicity of proteins. The tools were used to identify amino acid substitutions that could enhance the stability and reduce the aggregation propensity of BSP-12-CADONILIMAB while maintaining its target binding affinity.</w:t>
      </w:r>
    </w:p>
    <w:p/>
    <w:p>
      <w:r>
        <w:t>#### 1.4. Aggregation Analysis</w:t>
      </w:r>
    </w:p>
    <w:p/>
    <w:p>
      <w:r>
        <w:t>The aggregation propensity of BSP-12-CADONILIMAB was predicted using Aggrescan3D. This tool identifies aggregation-prone regions (APRs) in a protein sequence. The identified APRs were targeted for mutagenesis to reduce the aggregation propensity of the antibody.</w:t>
      </w:r>
    </w:p>
    <w:p/>
    <w:p>
      <w:r>
        <w:t>#### 1.5. Solubility Prediction</w:t>
      </w:r>
    </w:p>
    <w:p/>
    <w:p>
      <w:r>
        <w:t>The solubility of BSP-12-CADONILIMAB was predicted using NetSolP. This tool predicts the solubility of a protein based on its amino acid sequence. The predicted solubility was used to assess whether the antibody would be soluble in solution at high concentrations, which is important for manufacturing and formulation.</w:t>
      </w:r>
    </w:p>
    <w:p/>
    <w:p>
      <w:r>
        <w:t>#### 1.6. Thermostability Prediction</w:t>
      </w:r>
    </w:p>
    <w:p/>
    <w:p>
      <w:r>
        <w:t>The thermostability of BSP-12-CADONILIMAB was predicted using ThermoMPNN. This tool estimates the thermostability of a protein based on its sequence.</w:t>
      </w:r>
    </w:p>
    <w:p/>
    <w:p>
      <w:r>
        <w:t>#### 1.7. Immunogenicity Prediction</w:t>
      </w:r>
    </w:p>
    <w:p/>
    <w:p>
      <w:r>
        <w:t>The immunogenicity of BSP-12-CADONILIMAB was predicted using DeepImmuno. This tool assesses the likelihood that an antibody will elicit an immune response in patients. The predicted immunogenicity score was compared to the immunogenicity score of Cadonilimab (AK104) to assess whether the amino acid substitutions in BSP-12-CADONILIMAB had reduced its immunogenicity.</w:t>
      </w:r>
    </w:p>
    <w:p/>
    <w:p>
      <w:r>
        <w:t>#### 1.8. Results</w:t>
      </w:r>
    </w:p>
    <w:p/>
    <w:p>
      <w:r>
        <w:t>The results of the *in silico* analysis demonstrated that BSP-12-CADONILIMAB possesses:</w:t>
      </w:r>
    </w:p>
    <w:p/>
    <w:p>
      <w:r>
        <w:t>*   Reduced immunogenicity compared to the parent molecule, Cadonilimab (AK104).</w:t>
      </w:r>
    </w:p>
    <w:p>
      <w:r>
        <w:t>*   Enhanced stability and reduced aggregation propensity compared to the parent molecule, Cadonilimab (AK104).</w:t>
      </w:r>
    </w:p>
    <w:p>
      <w:r>
        <w:t>*   Predicted binding affinity to PD-1 and CTLA-4 comparable to the parent molecule, Cadonilimab (AK104).</w:t>
      </w:r>
    </w:p>
    <w:p/>
    <w:p>
      <w:r>
        <w:t>These results support the potential of BSP-12-CADONILIMAB as a best-in-class cancer immunotherapy agent.</w:t>
      </w:r>
    </w:p>
    <w:p/>
    <w:p>
      <w:r>
        <w:t>### Example 2: In Vitro Characterization</w:t>
      </w:r>
    </w:p>
    <w:p/>
    <w:p>
      <w:r>
        <w:t>This example describes the *in vitro* characterization of BSP-12-CADONILIMAB.</w:t>
      </w:r>
    </w:p>
    <w:p/>
    <w:p>
      <w:r>
        <w:t>#### 2.1. Antibody Production</w:t>
      </w:r>
    </w:p>
    <w:p/>
    <w:p>
      <w:r>
        <w:t>BSP-12-CADONILIMAB was produced by transient transfection of HEK293 cells with plasmids encoding the heavy and light chains of the antibody. The antibody was purified from the cell culture supernatant using Protein A affinity chromatography.</w:t>
      </w:r>
    </w:p>
    <w:p/>
    <w:p>
      <w:r>
        <w:t>#### 2.2. Binding Affinity Measurement</w:t>
      </w:r>
    </w:p>
    <w:p/>
    <w:p>
      <w:r>
        <w:t>The binding affinity of BSP-12-CADONILIMAB to PD-1 and CTLA-4 was measured using surface plasmon resonance (SPR). The SPR experiments were performed using a Biacore T200 instrument. PD-1 and CTLA-4 were immobilized on a sensor chip, and BSP-12-CADONILIMAB was flowed over the chip at various concentrations. The association and dissociation rates were measured, and the equilibrium dissociation constant (Kd) was calculated.</w:t>
      </w:r>
    </w:p>
    <w:p/>
    <w:p>
      <w:r>
        <w:t>#### 2.3. T-Cell Activation Assay</w:t>
      </w:r>
    </w:p>
    <w:p/>
    <w:p>
      <w:r>
        <w:t>The ability of BSP-12-CADONILIMAB to activate T cells was assessed using a T-cell activation assay. Human T cells were stimulated with anti-CD3 and anti-CD28 antibodies in the presence or absence of BSP-12-CADONILIMAB. The expression of T-cell activation markers, such as CD69 and CD25, was measured by flow cytometry. The secretion of cytokines, such as IFN-γ and TNF-α, was measured by ELISA.</w:t>
      </w:r>
    </w:p>
    <w:p/>
    <w:p>
      <w:r>
        <w:t>#### 2.4. Mixed Lymphocyte Reaction (MLR) Assay</w:t>
      </w:r>
    </w:p>
    <w:p/>
    <w:p>
      <w:r>
        <w:t>The ability of BSP-12-CADONILIMAB to enhance T-cell responses in a mixed lymphocyte reaction (MLR) assay was assessed.  Allogeneic PBMCs were co-cultured in the presence or absence of BSP-12-CADONILIMAB. After several days, T-cell proliferation was measured by [3H]-thymidine incorporation.</w:t>
      </w:r>
    </w:p>
    <w:p/>
    <w:p>
      <w:r>
        <w:t>#### 2.5. Stability Studies</w:t>
      </w:r>
    </w:p>
    <w:p/>
    <w:p>
      <w:r>
        <w:t>The stability of BSP-12-CADONILIMAB was assessed by measuring its aggregation propensity and degradation rate under various storage conditions. The aggregation propensity was measured using dynamic light scattering (DLS). The degradation rate was measured using size-exclusion chromatography (SEC).</w:t>
      </w:r>
    </w:p>
    <w:p/>
    <w:p>
      <w:r>
        <w:t>#### 2.6. Immunogenicity Assessment</w:t>
      </w:r>
    </w:p>
    <w:p/>
    <w:p>
      <w:r>
        <w:t>The immunogenicity of BSP-12-CADONILIMAB was assessed *in vitro* using a dendritic cell (DC)-T cell proliferation assay.  In this assay, DCs are pulsed with the antibody and then co-cultured with autologous T cells. T cell proliferation is measured, and high proliferation indicates high immunogenicity.</w:t>
      </w:r>
    </w:p>
    <w:p/>
    <w:p>
      <w:r>
        <w:t>#### 2.7. Results</w:t>
      </w:r>
    </w:p>
    <w:p/>
    <w:p>
      <w:r>
        <w:t>The *in vitro* characterization of BSP-12-CADONILIMAB demonstrated that it:</w:t>
      </w:r>
    </w:p>
    <w:p/>
    <w:p>
      <w:r>
        <w:t>*   Binds to PD-1 and CTLA-4 with high affinity.</w:t>
      </w:r>
    </w:p>
    <w:p>
      <w:r>
        <w:t>*   Activates T cells and enhances T-cell responses in vitro.</w:t>
      </w:r>
    </w:p>
    <w:p>
      <w:r>
        <w:t>*   Exhibits good stability under various storage conditions.</w:t>
      </w:r>
    </w:p>
    <w:p>
      <w:r>
        <w:t>*   Shows reduced immunogenicity compared to the parent molecule, Cadonilimab (AK104).</w:t>
      </w:r>
    </w:p>
    <w:p/>
    <w:p>
      <w:r>
        <w:t>These results further support the potential of BSP-12-CADONILIMAB as a best-in-class cancer immunotherapy agent.</w:t>
      </w:r>
    </w:p>
    <w:p/>
    <w:p>
      <w:r>
        <w:t>### Example 3: Clinical Application (Prophetic)</w:t>
      </w:r>
    </w:p>
    <w:p/>
    <w:p>
      <w:r>
        <w:t>This example describes a proposed clinical trial to evaluate the safety and efficacy of BSP-12-CADONILIMAB in patients with advanced cervical cancer.</w:t>
      </w:r>
    </w:p>
    <w:p/>
    <w:p>
      <w:r>
        <w:t>#### 3.1. Study Design</w:t>
      </w:r>
    </w:p>
    <w:p/>
    <w:p>
      <w:r>
        <w:t>This is a Phase I/II, open-label, dose-escalation study of BSP-12-CADONILIMAB in patients with advanced cervical cancer who have failed prior systemic therapy.</w:t>
      </w:r>
    </w:p>
    <w:p/>
    <w:p>
      <w:r>
        <w:t>#### 3.2. Patient Population</w:t>
      </w:r>
    </w:p>
    <w:p/>
    <w:p>
      <w:r>
        <w:t>The study will enroll approximately 50 patients with advanced cervical cancer who have failed at least one prior line of systemic therapy. Patients must have measurable disease according to RECIST 1.1 criteria and must have adequate organ function.</w:t>
      </w:r>
    </w:p>
    <w:p/>
    <w:p>
      <w:r>
        <w:t>#### 3.3. Treatment</w:t>
      </w:r>
    </w:p>
    <w:p/>
    <w:p>
      <w:r>
        <w:t>Patients will receive BSP-12-CADONILIMAB intravenously every two weeks. The starting dose will be determined based on preclinical studies. The dose will be escalated in a standard 3+3 design until the maximum tolerated dose (MTD) is reached.</w:t>
      </w:r>
    </w:p>
    <w:p/>
    <w:p>
      <w:r>
        <w:t>#### 3.4. Endpoints</w:t>
      </w:r>
    </w:p>
    <w:p/>
    <w:p>
      <w:r>
        <w:t>The primary endpoint of the Phase I portion of the study is to determine the MTD of BSP-12-CADONILIMAB. The secondary endpoints include safety, tolerability, pharmacokinetics, and pharmacodynamics.</w:t>
      </w:r>
    </w:p>
    <w:p/>
    <w:p>
      <w:r>
        <w:t>The primary endpoint of the Phase II portion of the study is to determine the objective response rate (ORR) according to RECIST 1.1 criteria. The secondary endpoints include duration of response (DOR), progression-free survival (PFS), overall survival (OS), and biomarker analysis.</w:t>
      </w:r>
    </w:p>
    <w:p/>
    <w:p>
      <w:r>
        <w:t>#### 3.5. Biomarker Analysis</w:t>
      </w:r>
    </w:p>
    <w:p/>
    <w:p>
      <w:r>
        <w:t>Biomarker analysis will be performed on tumor biopsies collected at baseline and during treatment. The biomarkers that will be analyzed include PD-L1 expression, CTLA-4 expression, T-cell infiltration, and mutational burden.</w:t>
      </w:r>
    </w:p>
    <w:p/>
    <w:p>
      <w:r>
        <w:t>#### 3.6. Expected Results</w:t>
      </w:r>
    </w:p>
    <w:p/>
    <w:p>
      <w:r>
        <w:t>It is expected that BSP-12-CADONILIMAB will be safe and well-tolerated in patients with advanced cervical cancer. It is also expected that BSP-12-CADONILIMAB will demonstrate clinical activity in this patient population, as evidenced by an improvement in ORR, DOR, PFS, and OS. The biomarker analysis will help to identify patients who are most likely to respond to treatment with BSP-12-CADONILIMAB.</w:t>
      </w:r>
    </w:p>
    <w:p/>
    <w:p>
      <w:r>
        <w:t>## 8. CLAIMS</w:t>
      </w:r>
    </w:p>
    <w:p/>
    <w:p>
      <w:r>
        <w:t>1.  An isolated bispecific antibody comprising:</w:t>
      </w:r>
    </w:p>
    <w:p>
      <w:r>
        <w:t xml:space="preserve">    *   a first antigen-binding region that specifically binds to Programmed cell Death protein 1 (PD-1); and</w:t>
      </w:r>
    </w:p>
    <w:p>
      <w:r>
        <w:t xml:space="preserve">    *   a second antigen-binding region that specifically binds to Cytotoxic T-Lymphocyte Antigen 4 (CTLA-4);</w:t>
      </w:r>
    </w:p>
    <w:p>
      <w:r>
        <w:t xml:space="preserve">    wherein the bispecific antibody comprises one or more amino acid substitutions in a variable region (VH or VL) or constant region (CH or CL), said substitutions reducing immunogenicity compared to Cadonilimab (AK104).</w:t>
      </w:r>
    </w:p>
    <w:p/>
    <w:p>
      <w:r>
        <w:t>2.  The isolated bispecific antibody of claim 1, wherein said one or more amino acid substitutions also enhance stability compared to Cadonilimab (AK104).</w:t>
      </w:r>
    </w:p>
    <w:p/>
    <w:p>
      <w:r>
        <w:t>3.  The isolated bispecific antibody of claim 1, wherein said one or more amino acid substitutions also improve manufacturability compared to Cadonilimab (AK104).</w:t>
      </w:r>
    </w:p>
    <w:p/>
    <w:p>
      <w:r>
        <w:t>4.  The isolated bispecific antibody of claim 1, wherein the first antigen-binding region comprises a heavy chain variable region (VH) and a light chain variable region (VL), and the second antigen-binding region comprises a different heavy chain variable region (VH) and a different light chain variable region (VL).</w:t>
      </w:r>
    </w:p>
    <w:p/>
    <w:p>
      <w:r>
        <w:t>5.  The isolated bispecific antibody of claim 4, wherein the VH and VL of the first antigen-binding region comprise complementarity-determining regions (CDRs) that specifically bind to PD-1.</w:t>
      </w:r>
    </w:p>
    <w:p/>
    <w:p>
      <w:r>
        <w:t>6.  The isolated bispecific antibody of claim 4, wherein the VH and VL of the second antigen-binding region comprise complementarity-determining regions (CDRs) that specifically bind to CTLA-4.</w:t>
      </w:r>
    </w:p>
    <w:p/>
    <w:p>
      <w:r>
        <w:t>7.  The isolated bispecific antibody of claim 1, wherein the bispecific antibody is an IgG-like antibody.</w:t>
      </w:r>
    </w:p>
    <w:p/>
    <w:p>
      <w:r>
        <w:t>8.  The isolated bispecific antibody of claim 1, wherein the one or more amino acid substitutions are selected from the group consisting of:</w:t>
      </w:r>
    </w:p>
    <w:p>
      <w:r>
        <w:t xml:space="preserve">    *   substitution of a lysine residue with an alanine residue in a predicted MHC binding pocket in the VH or VL domain;</w:t>
      </w:r>
    </w:p>
    <w:p>
      <w:r>
        <w:t xml:space="preserve">    *   substitution of an asparagine residue with a glutamine residue to remove a glycosylation site in the CH or CL domain;</w:t>
      </w:r>
    </w:p>
    <w:p>
      <w:r>
        <w:t xml:space="preserve">    *   substitution of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