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CityTaste — Synthèse EDA (preuves + décisions)</w:t>
      </w:r>
    </w:p>
    <w:p>
      <w:pPr>
        <w:pStyle w:val="Heading2"/>
        <w:spacing w:after="200"/>
        <w:jc w:val="left"/>
      </w:pPr>
      <w:r>
        <w:t xml:space="preserve">Aperçu dataset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Lignes :</w:t>
      </w:r>
      <w:r>
        <w:t xml:space="preserve"> 1104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Colonnes :</w:t>
      </w:r>
      <w:r>
        <w:t xml:space="preserve"> 28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Restaurants :</w:t>
      </w:r>
      <w:r>
        <w:t xml:space="preserve"> 1009 (91.4%)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Hébergements (total) :</w:t>
      </w:r>
      <w:r>
        <w:t xml:space="preserve"> 95 (8.6%)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Qualité &amp; manquants (points clés)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website</w:t>
      </w:r>
      <w:r>
        <w:t xml:space="preserve"> manquant : 721 (65.3%)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phone</w:t>
      </w:r>
      <w:r>
        <w:t xml:space="preserve"> manquant : 798 (72.3%)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opening_hours</w:t>
      </w:r>
      <w:r>
        <w:t xml:space="preserve"> manquant : 856 (77.5%)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addr_postcode</w:t>
      </w:r>
      <w:r>
        <w:t xml:space="preserve"> manquant : 854 (77.4%)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cuisine_norm</w:t>
      </w:r>
      <w:r>
        <w:t xml:space="preserve"> manquant : 353 (32.0%)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rFonts w:ascii="Courier New" w:cs="Courier New" w:eastAsia="Courier New" w:hAnsi="Courier New"/>
          <w:shd w:fill="F1F5F9" w:color="auto" w:val="clear"/>
        </w:rPr>
        <w:t xml:space="preserve">address</w:t>
      </w:r>
      <w:r>
        <w:t xml:space="preserve"> manquant : 69 (6.2%)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Constats EDA (3–5)</w:t>
      </w:r>
    </w:p>
    <w:p>
      <w:pPr>
        <w:spacing w:after="100"/>
        <w:ind w:left="240"/>
        <w:jc w:val="left"/>
      </w:pPr>
      <w:r>
        <w:t xml:space="preserve">1. </w:t>
      </w:r>
      <w:r>
        <w:rPr>
          <w:b/>
          <w:bCs/>
        </w:rPr>
        <w:t xml:space="preserve">Déséquilibre catalogue</w:t>
      </w:r>
      <w:r>
        <w:t xml:space="preserve"> : très majoritairement restaurants (≈91.4%), peu d’hébergements → risque de recommandations moins variées côté hôtels.</w:t>
      </w:r>
    </w:p>
    <w:p>
      <w:pPr>
        <w:spacing w:after="100"/>
        <w:ind w:left="240"/>
        <w:jc w:val="left"/>
      </w:pPr>
      <w:r>
        <w:t xml:space="preserve">2. </w:t>
      </w:r>
      <w:r>
        <w:rPr>
          <w:b/>
          <w:bCs/>
        </w:rPr>
        <w:t xml:space="preserve">Champs business critiques souvent manquants</w:t>
      </w:r>
      <w:r>
        <w:t xml:space="preserve"> : téléphone/site/horaires absents pour la majorité → l’app doit gérer “—” + expliquer la complétude (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).</w:t>
      </w:r>
    </w:p>
    <w:p>
      <w:pPr>
        <w:spacing w:after="100"/>
        <w:ind w:left="240"/>
        <w:jc w:val="left"/>
      </w:pPr>
      <w:r>
        <w:t xml:space="preserve">3. </w:t>
      </w:r>
      <w:r>
        <w:rPr>
          <w:b/>
          <w:bCs/>
        </w:rPr>
        <w:t xml:space="preserve">Cuisine</w:t>
      </w:r>
      <w:r>
        <w:t xml:space="preserve"> : ~32.0% sans cuisine normalisée → prévoir une catégorie “unknown” et/ou enrichir via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cuisine_list</w:t>
      </w:r>
      <w:r>
        <w:t xml:space="preserve">.</w:t>
      </w:r>
    </w:p>
    <w:p>
      <w:pPr>
        <w:spacing w:after="100"/>
        <w:ind w:left="240"/>
        <w:jc w:val="left"/>
      </w:pPr>
      <w:r>
        <w:t xml:space="preserve">4. </w:t>
      </w:r>
      <w:r>
        <w:rPr>
          <w:b/>
          <w:bCs/>
        </w:rPr>
        <w:t xml:space="preserve">Déduplication</w:t>
      </w:r>
      <w:r>
        <w:t xml:space="preserve"> : 0 doublon (</w:t>
      </w:r>
      <w:r>
        <w:rPr>
          <w:rFonts w:ascii="Courier New" w:cs="Courier New" w:eastAsia="Courier New" w:hAnsi="Courier New"/>
          <w:shd w:fill="F1F5F9" w:color="auto" w:val="clear"/>
        </w:rPr>
        <w:t xml:space="preserve">osm_type</w:t>
      </w:r>
      <w:r>
        <w:t xml:space="preserve">,</w:t>
      </w:r>
      <w:r>
        <w:rPr>
          <w:rFonts w:ascii="Courier New" w:cs="Courier New" w:eastAsia="Courier New" w:hAnsi="Courier New"/>
          <w:shd w:fill="F1F5F9" w:color="auto" w:val="clear"/>
        </w:rPr>
        <w:t xml:space="preserve">osm_id</w:t>
      </w:r>
      <w:r>
        <w:t xml:space="preserve">) mais </w:t>
      </w:r>
      <w:r>
        <w:rPr>
          <w:b/>
          <w:bCs/>
        </w:rPr>
        <w:t xml:space="preserve">1 doublon quasi-identique</w:t>
      </w:r>
      <w:r>
        <w:t xml:space="preserve"> sur (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,</w:t>
      </w:r>
      <w:r>
        <w:rPr>
          <w:rFonts w:ascii="Courier New" w:cs="Courier New" w:eastAsia="Courier New" w:hAnsi="Courier New"/>
          <w:shd w:fill="F1F5F9" w:color="auto" w:val="clear"/>
        </w:rPr>
        <w:t xml:space="preserve">address_norm</w:t>
      </w:r>
      <w:r>
        <w:t xml:space="preserve">) (ex: chaîne) → fusion par proximité géographique possible.</w:t>
      </w:r>
    </w:p>
    <w:p>
      <w:pPr>
        <w:spacing w:after="100"/>
        <w:ind w:left="240"/>
        <w:jc w:val="left"/>
      </w:pPr>
      <w:r>
        <w:t xml:space="preserve">5. </w:t>
      </w:r>
      <w:r>
        <w:rPr>
          <w:b/>
          <w:bCs/>
        </w:rPr>
        <w:t xml:space="preserve">Coordonnées</w:t>
      </w:r>
      <w:r>
        <w:t xml:space="preserve"> : lat/lon complets (0% manquants) et plausibles → bon pour distance/reco et cartographie.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Décisions proposées (3+)</w:t>
      </w:r>
    </w:p>
    <w:p>
      <w:pPr>
        <w:spacing w:after="120"/>
        <w:jc w:val="left"/>
      </w:pPr>
      <w:r>
        <w:t xml:space="preserve">A) </w:t>
      </w:r>
      <w:r>
        <w:rPr>
          <w:b/>
          <w:bCs/>
        </w:rPr>
        <w:t xml:space="preserve">Conserver les lignes incomplètes</w:t>
      </w:r>
      <w:r>
        <w:t xml:space="preserve"> mais exploiter </w:t>
      </w:r>
      <w:r>
        <w:rPr>
          <w:rFonts w:ascii="Courier New" w:cs="Courier New" w:eastAsia="Courier New" w:hAnsi="Courier New"/>
          <w:shd w:fill="F1F5F9" w:color="auto" w:val="clear"/>
        </w:rPr>
        <w:t xml:space="preserve">has_*</w:t>
      </w:r>
      <w:r>
        <w:t xml:space="preserve"> + </w:t>
      </w:r>
      <w:r>
        <w:rPr>
          <w:rFonts w:ascii="Courier New" w:cs="Courier New" w:eastAsia="Courier New" w:hAnsi="Courier New"/>
          <w:shd w:fill="F1F5F9" w:color="auto" w:val="clear"/>
        </w:rPr>
        <w:t xml:space="preserve">info_score</w:t>
      </w:r>
      <w:r>
        <w:t xml:space="preserve"> dans le scoring et dans l’UI (explication “infos disponibles”).</w:t>
      </w:r>
      <w:r>
        <w:br/>
      </w:r>
      <w:r>
        <w:t xml:space="preserve">B) </w:t>
      </w:r>
      <w:r>
        <w:rPr>
          <w:b/>
          <w:bCs/>
        </w:rPr>
        <w:t xml:space="preserve">Cuisine</w:t>
      </w:r>
      <w:r>
        <w:t xml:space="preserve"> : standardiser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cuisine_norm</w:t>
      </w:r>
      <w:r>
        <w:t xml:space="preserve"> et créer </w:t>
      </w:r>
      <w:r>
        <w:rPr>
          <w:rFonts w:ascii="Courier New" w:cs="Courier New" w:eastAsia="Courier New" w:hAnsi="Courier New"/>
          <w:shd w:fill="F1F5F9" w:color="auto" w:val="clear"/>
        </w:rPr>
        <w:t xml:space="preserve">unknown</w:t>
      </w:r>
      <w:r>
        <w:t xml:space="preserve"> (au lieu de NaN), + garder </w:t>
      </w:r>
      <w:r>
        <w:rPr>
          <w:rFonts w:ascii="Courier New" w:cs="Courier New" w:eastAsia="Courier New" w:hAnsi="Courier New"/>
          <w:shd w:fill="F1F5F9" w:color="auto" w:val="clear"/>
        </w:rPr>
        <w:t xml:space="preserve">cuisine_list</w:t>
      </w:r>
      <w:r>
        <w:t xml:space="preserve"> pour multi-label.</w:t>
      </w:r>
      <w:r>
        <w:br/>
      </w:r>
      <w:r>
        <w:t xml:space="preserve">C) </w:t>
      </w:r>
      <w:r>
        <w:rPr>
          <w:b/>
          <w:bCs/>
        </w:rPr>
        <w:t xml:space="preserve">Déduplication v2</w:t>
      </w:r>
      <w:r>
        <w:t xml:space="preserve"> : fusionner les quasi-doublons (</w:t>
      </w:r>
      <w:r>
        <w:rPr>
          <w:rFonts w:ascii="Courier New" w:cs="Courier New" w:eastAsia="Courier New" w:hAnsi="Courier New"/>
          <w:shd w:fill="F1F5F9" w:color="auto" w:val="clear"/>
        </w:rPr>
        <w:t xml:space="preserve">name</w:t>
      </w:r>
      <w:r>
        <w:t xml:space="preserve">+</w:t>
      </w:r>
      <w:r>
        <w:rPr>
          <w:rFonts w:ascii="Courier New" w:cs="Courier New" w:eastAsia="Courier New" w:hAnsi="Courier New"/>
          <w:shd w:fill="F1F5F9" w:color="auto" w:val="clear"/>
        </w:rPr>
        <w:t xml:space="preserve">address_norm</w:t>
      </w:r>
      <w:r>
        <w:t xml:space="preserve">) si distance &lt; seuil (ex 200–300m).</w:t>
      </w:r>
      <w:r>
        <w:br/>
      </w:r>
      <w:r>
        <w:t xml:space="preserve">D) </w:t>
      </w:r>
      <w:r>
        <w:rPr>
          <w:b/>
          <w:bCs/>
        </w:rPr>
        <w:t xml:space="preserve">Enrichissement léger</w:t>
      </w:r>
      <w:r>
        <w:t xml:space="preserve"> : ajouter </w:t>
      </w:r>
      <w:r>
        <w:rPr>
          <w:rFonts w:ascii="Courier New" w:cs="Courier New" w:eastAsia="Courier New" w:hAnsi="Courier New"/>
          <w:shd w:fill="F1F5F9" w:color="auto" w:val="clear"/>
        </w:rPr>
        <w:t xml:space="preserve">neighbourhood</w:t>
      </w:r>
      <w:r>
        <w:t xml:space="preserve"> via reverse geocoding (utile pour l’UI et les filtres), en gardant la source et la date.</w:t>
      </w: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Risque de fuite (data leakage) + prévention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Risque :</w:t>
      </w:r>
      <w:r>
        <w:t xml:space="preserve"> si on crée des features globales (ex: normalisation/imputation/scaling) </w:t>
      </w:r>
      <w:r>
        <w:rPr>
          <w:i/>
          <w:iCs/>
        </w:rPr>
        <w:t xml:space="preserve">avant</w:t>
      </w:r>
      <w:r>
        <w:t xml:space="preserve"> la séparation train/test, on “voit” le test.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Solution :</w:t>
      </w:r>
      <w:r>
        <w:t xml:space="preserve"> split d’abord (ou fit uniquement sur train), puis appliquer le pipeline (scaler/imputer/encode) avec un objet </w:t>
      </w:r>
      <w:r>
        <w:rPr>
          <w:rFonts w:ascii="Courier New" w:cs="Courier New" w:eastAsia="Courier New" w:hAnsi="Courier New"/>
          <w:shd w:fill="F1F5F9" w:color="auto" w:val="clear"/>
        </w:rPr>
        <w:t xml:space="preserve">Pipeline</w:t>
      </w:r>
      <w:r>
        <w:t xml:space="preserve"> entraîné sur train seulement.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Autre risque :</w:t>
      </w:r>
      <w:r>
        <w:t xml:space="preserve"> quasi-doublons dans train et test → performances artificiellement hautes.</w:t>
      </w:r>
    </w:p>
    <w:p>
      <w:pPr>
        <w:pStyle w:val="ListParagraph"/>
        <w:numPr>
          <w:ilvl w:val="0"/>
          <w:numId w:val="1"/>
        </w:numPr>
        <w:spacing w:after="100"/>
        <w:ind w:left="240"/>
        <w:jc w:val="left"/>
      </w:pPr>
      <w:r>
        <w:rPr>
          <w:b/>
          <w:bCs/>
        </w:rPr>
        <w:t xml:space="preserve">Solution :</w:t>
      </w:r>
      <w:r>
        <w:t xml:space="preserve"> dédupliquer avant split, ou split par groupe (ex: </w:t>
      </w:r>
      <w:r>
        <w:rPr>
          <w:rFonts w:ascii="Courier New" w:cs="Courier New" w:eastAsia="Courier New" w:hAnsi="Courier New"/>
          <w:shd w:fill="F1F5F9" w:color="auto" w:val="clear"/>
        </w:rPr>
        <w:t xml:space="preserve">address_norm</w:t>
      </w:r>
      <w:r>
        <w:t xml:space="preserve">/</w:t>
      </w:r>
      <w:r>
        <w:rPr>
          <w:rFonts w:ascii="Courier New" w:cs="Courier New" w:eastAsia="Courier New" w:hAnsi="Courier New"/>
          <w:shd w:fill="F1F5F9" w:color="auto" w:val="clear"/>
        </w:rPr>
        <w:t xml:space="preserve">brand</w:t>
      </w:r>
      <w:r>
        <w:t xml:space="preserve">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2026-02-25T16:44:54.072Z</dcterms:created>
  <dcterms:modified xsi:type="dcterms:W3CDTF">2026-02-25T16:44:54.072Z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