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2471" w14:textId="419B95B7" w:rsidR="009833F9" w:rsidRPr="009833F9" w:rsidRDefault="009833F9" w:rsidP="009833F9">
      <w:pPr>
        <w:jc w:val="center"/>
        <w:rPr>
          <w:rFonts w:ascii="新細明體 EUDC" w:eastAsia="新細明體 EUDC" w:hAnsi="新細明體 EUDC"/>
          <w:b/>
          <w:bCs/>
          <w:sz w:val="28"/>
          <w:szCs w:val="28"/>
        </w:rPr>
      </w:pPr>
      <w:r w:rsidRPr="009833F9">
        <w:rPr>
          <w:rFonts w:ascii="新細明體 EUDC" w:eastAsia="新細明體 EUDC" w:hAnsi="新細明體 EUDC" w:hint="eastAsia"/>
          <w:b/>
          <w:bCs/>
          <w:sz w:val="28"/>
          <w:szCs w:val="28"/>
        </w:rPr>
        <w:t>英屬百慕達商友邦人壽保險股份有限公司台灣分公司</w:t>
      </w:r>
    </w:p>
    <w:p w14:paraId="08CB568A" w14:textId="1B7C13DD" w:rsidR="009833F9" w:rsidRPr="009833F9" w:rsidRDefault="009833F9" w:rsidP="009833F9">
      <w:pPr>
        <w:jc w:val="center"/>
        <w:rPr>
          <w:rFonts w:ascii="新細明體 EUDC" w:eastAsia="新細明體 EUDC" w:hAnsi="新細明體 EUDC"/>
          <w:b/>
          <w:bCs/>
          <w:sz w:val="28"/>
          <w:szCs w:val="28"/>
        </w:rPr>
      </w:pPr>
      <w:r w:rsidRPr="009833F9">
        <w:rPr>
          <w:rFonts w:ascii="新細明體 EUDC" w:eastAsia="新細明體 EUDC" w:hAnsi="新細明體 EUDC" w:hint="eastAsia"/>
          <w:b/>
          <w:bCs/>
          <w:sz w:val="28"/>
          <w:szCs w:val="28"/>
        </w:rPr>
        <w:t>人身保險業務員資格測驗入場證</w:t>
      </w:r>
    </w:p>
    <w:p w14:paraId="0212B2C5" w14:textId="7BA906C7" w:rsidR="009833F9" w:rsidRPr="009833F9" w:rsidRDefault="009833F9" w:rsidP="009833F9">
      <w:pPr>
        <w:jc w:val="center"/>
        <w:rPr>
          <w:rFonts w:ascii="新細明體 EUDC" w:eastAsia="新細明體 EUDC" w:hAnsi="新細明體 EUDC"/>
          <w:b/>
          <w:bCs/>
          <w:sz w:val="28"/>
          <w:szCs w:val="28"/>
        </w:rPr>
      </w:pPr>
      <w:r w:rsidRPr="004B4C2F">
        <w:rPr>
          <w:rFonts w:ascii="新細明體 EUDC" w:eastAsia="新細明體 EUDC" w:hAnsi="新細明體 EUDC"/>
          <w:b/>
          <w:bCs/>
          <w:sz w:val="28"/>
          <w:szCs w:val="28"/>
          <w:highlight w:val="yellow"/>
        </w:rPr>
        <w:t>[$ParserTag</w:t>
      </w:r>
      <w:r w:rsidRPr="004B4C2F">
        <w:rPr>
          <w:rFonts w:ascii="新細明體 EUDC" w:eastAsia="新細明體 EUDC" w:hAnsi="新細明體 EUDC" w:hint="eastAsia"/>
          <w:b/>
          <w:bCs/>
          <w:sz w:val="28"/>
          <w:szCs w:val="28"/>
          <w:highlight w:val="yellow"/>
        </w:rPr>
        <w:t>1</w:t>
      </w:r>
      <w:r w:rsidRPr="004B4C2F">
        <w:rPr>
          <w:rFonts w:ascii="新細明體 EUDC" w:eastAsia="新細明體 EUDC" w:hAnsi="新細明體 EUDC"/>
          <w:b/>
          <w:bCs/>
          <w:sz w:val="28"/>
          <w:szCs w:val="28"/>
          <w:highlight w:val="yellow"/>
        </w:rPr>
        <w:t>$]</w:t>
      </w:r>
    </w:p>
    <w:p w14:paraId="3E692952" w14:textId="63630F12" w:rsidR="009833F9" w:rsidRPr="009833F9" w:rsidRDefault="009833F9">
      <w:pPr>
        <w:rPr>
          <w:rFonts w:ascii="新細明體 EUDC" w:eastAsia="新細明體 EUDC" w:hAnsi="新細明體 EUDC"/>
          <w:sz w:val="28"/>
          <w:szCs w:val="28"/>
        </w:rPr>
      </w:pPr>
    </w:p>
    <w:p w14:paraId="6A460F09" w14:textId="7C64CBEB" w:rsidR="009833F9" w:rsidRPr="009833F9" w:rsidRDefault="009833F9">
      <w:pPr>
        <w:rPr>
          <w:rFonts w:ascii="新細明體 EUDC" w:eastAsia="新細明體 EUDC" w:hAnsi="新細明體 EUDC"/>
          <w:sz w:val="28"/>
          <w:szCs w:val="28"/>
        </w:rPr>
      </w:pPr>
      <w:r w:rsidRPr="009833F9">
        <w:rPr>
          <w:rFonts w:ascii="新細明體 EUDC" w:eastAsia="新細明體 EUDC" w:hAnsi="新細明體 EUDC" w:hint="eastAsia"/>
          <w:b/>
          <w:bCs/>
          <w:i/>
          <w:iCs/>
          <w:sz w:val="28"/>
          <w:szCs w:val="28"/>
        </w:rPr>
        <w:t>測驗日期</w:t>
      </w:r>
      <w:r w:rsidRPr="009833F9">
        <w:rPr>
          <w:rFonts w:ascii="新細明體 EUDC" w:eastAsia="新細明體 EUDC" w:hAnsi="新細明體 EUDC" w:hint="eastAsia"/>
          <w:sz w:val="28"/>
          <w:szCs w:val="28"/>
        </w:rPr>
        <w:t xml:space="preserve"> : </w:t>
      </w:r>
      <w:r w:rsidRPr="004B4C2F">
        <w:rPr>
          <w:rFonts w:ascii="新細明體 EUDC" w:eastAsia="新細明體 EUDC" w:hAnsi="新細明體 EUDC"/>
          <w:sz w:val="28"/>
          <w:szCs w:val="28"/>
          <w:highlight w:val="yellow"/>
        </w:rPr>
        <w:t>[$ParserTag</w:t>
      </w:r>
      <w:r w:rsidRPr="004B4C2F">
        <w:rPr>
          <w:rFonts w:ascii="新細明體 EUDC" w:eastAsia="新細明體 EUDC" w:hAnsi="新細明體 EUDC" w:hint="eastAsia"/>
          <w:sz w:val="28"/>
          <w:szCs w:val="28"/>
          <w:highlight w:val="yellow"/>
        </w:rPr>
        <w:t>2</w:t>
      </w:r>
      <w:r w:rsidRPr="004B4C2F">
        <w:rPr>
          <w:rFonts w:ascii="新細明體 EUDC" w:eastAsia="新細明體 EUDC" w:hAnsi="新細明體 EUDC"/>
          <w:sz w:val="28"/>
          <w:szCs w:val="28"/>
          <w:highlight w:val="yellow"/>
        </w:rPr>
        <w:t>$]</w:t>
      </w:r>
      <w:r>
        <w:rPr>
          <w:rFonts w:ascii="新細明體 EUDC" w:eastAsia="新細明體 EUDC" w:hAnsi="新細明體 EUDC"/>
          <w:sz w:val="28"/>
          <w:szCs w:val="28"/>
        </w:rPr>
        <w:tab/>
      </w:r>
      <w:r>
        <w:rPr>
          <w:rFonts w:ascii="新細明體 EUDC" w:eastAsia="新細明體 EUDC" w:hAnsi="新細明體 EUDC"/>
          <w:sz w:val="28"/>
          <w:szCs w:val="28"/>
        </w:rPr>
        <w:tab/>
      </w:r>
      <w:r>
        <w:rPr>
          <w:rFonts w:ascii="新細明體 EUDC" w:eastAsia="新細明體 EUDC" w:hAnsi="新細明體 EUDC"/>
          <w:sz w:val="28"/>
          <w:szCs w:val="28"/>
        </w:rPr>
        <w:tab/>
      </w:r>
      <w:r>
        <w:rPr>
          <w:rFonts w:ascii="新細明體 EUDC" w:eastAsia="新細明體 EUDC" w:hAnsi="新細明體 EUDC"/>
          <w:sz w:val="28"/>
          <w:szCs w:val="28"/>
        </w:rPr>
        <w:tab/>
      </w:r>
      <w:r>
        <w:rPr>
          <w:rFonts w:ascii="新細明體 EUDC" w:eastAsia="新細明體 EUDC" w:hAnsi="新細明體 EUDC"/>
          <w:sz w:val="28"/>
          <w:szCs w:val="28"/>
        </w:rPr>
        <w:tab/>
      </w:r>
      <w:r w:rsidRPr="009833F9">
        <w:rPr>
          <w:rFonts w:ascii="新細明體 EUDC" w:eastAsia="新細明體 EUDC" w:hAnsi="新細明體 EUDC" w:hint="eastAsia"/>
          <w:b/>
          <w:bCs/>
          <w:i/>
          <w:iCs/>
          <w:sz w:val="28"/>
          <w:szCs w:val="28"/>
        </w:rPr>
        <w:t>編號</w:t>
      </w:r>
      <w:r w:rsidRPr="009833F9">
        <w:rPr>
          <w:rFonts w:ascii="新細明體 EUDC" w:eastAsia="新細明體 EUDC" w:hAnsi="新細明體 EUDC" w:hint="eastAsia"/>
          <w:sz w:val="28"/>
          <w:szCs w:val="28"/>
        </w:rPr>
        <w:t xml:space="preserve"> : </w:t>
      </w:r>
      <w:r w:rsidRPr="004B4C2F">
        <w:rPr>
          <w:rFonts w:ascii="新細明體 EUDC" w:eastAsia="新細明體 EUDC" w:hAnsi="新細明體 EUDC"/>
          <w:sz w:val="28"/>
          <w:szCs w:val="28"/>
          <w:highlight w:val="yellow"/>
        </w:rPr>
        <w:t>[$ParserTag3$]</w:t>
      </w:r>
    </w:p>
    <w:p w14:paraId="07610559" w14:textId="201C653E" w:rsidR="009833F9" w:rsidRPr="009833F9" w:rsidRDefault="009833F9" w:rsidP="009833F9">
      <w:pPr>
        <w:rPr>
          <w:rFonts w:ascii="新細明體 EUDC" w:eastAsia="新細明體 EUDC" w:hAnsi="新細明體 EUDC"/>
          <w:sz w:val="28"/>
          <w:szCs w:val="28"/>
        </w:rPr>
      </w:pPr>
      <w:r w:rsidRPr="009833F9">
        <w:rPr>
          <w:rFonts w:ascii="新細明體 EUDC" w:eastAsia="新細明體 EUDC" w:hAnsi="新細明體 EUDC" w:hint="eastAsia"/>
          <w:b/>
          <w:bCs/>
          <w:i/>
          <w:iCs/>
          <w:sz w:val="28"/>
          <w:szCs w:val="28"/>
        </w:rPr>
        <w:t>測驗時間</w:t>
      </w:r>
      <w:r w:rsidRPr="009833F9">
        <w:rPr>
          <w:rFonts w:ascii="新細明體 EUDC" w:eastAsia="新細明體 EUDC" w:hAnsi="新細明體 EUDC" w:hint="eastAsia"/>
          <w:sz w:val="28"/>
          <w:szCs w:val="28"/>
        </w:rPr>
        <w:t xml:space="preserve"> : </w:t>
      </w:r>
      <w:r w:rsidRPr="004B4C2F">
        <w:rPr>
          <w:rFonts w:ascii="新細明體 EUDC" w:eastAsia="新細明體 EUDC" w:hAnsi="新細明體 EUDC"/>
          <w:sz w:val="28"/>
          <w:szCs w:val="28"/>
          <w:highlight w:val="yellow"/>
        </w:rPr>
        <w:t>[$ParserTag4$]</w:t>
      </w:r>
      <w:r>
        <w:rPr>
          <w:rFonts w:ascii="新細明體 EUDC" w:eastAsia="新細明體 EUDC" w:hAnsi="新細明體 EUDC"/>
          <w:sz w:val="28"/>
          <w:szCs w:val="28"/>
        </w:rPr>
        <w:tab/>
      </w:r>
      <w:r>
        <w:rPr>
          <w:rFonts w:ascii="新細明體 EUDC" w:eastAsia="新細明體 EUDC" w:hAnsi="新細明體 EUDC"/>
          <w:sz w:val="28"/>
          <w:szCs w:val="28"/>
        </w:rPr>
        <w:tab/>
      </w:r>
      <w:r>
        <w:rPr>
          <w:rFonts w:ascii="新細明體 EUDC" w:eastAsia="新細明體 EUDC" w:hAnsi="新細明體 EUDC"/>
          <w:sz w:val="28"/>
          <w:szCs w:val="28"/>
        </w:rPr>
        <w:tab/>
      </w:r>
      <w:r>
        <w:rPr>
          <w:rFonts w:ascii="新細明體 EUDC" w:eastAsia="新細明體 EUDC" w:hAnsi="新細明體 EUDC"/>
          <w:sz w:val="28"/>
          <w:szCs w:val="28"/>
        </w:rPr>
        <w:tab/>
      </w:r>
      <w:r>
        <w:rPr>
          <w:rFonts w:ascii="新細明體 EUDC" w:eastAsia="新細明體 EUDC" w:hAnsi="新細明體 EUDC"/>
          <w:sz w:val="28"/>
          <w:szCs w:val="28"/>
        </w:rPr>
        <w:tab/>
      </w:r>
      <w:r w:rsidRPr="009833F9">
        <w:rPr>
          <w:rFonts w:ascii="新細明體 EUDC" w:eastAsia="新細明體 EUDC" w:hAnsi="新細明體 EUDC" w:hint="eastAsia"/>
          <w:b/>
          <w:bCs/>
          <w:i/>
          <w:iCs/>
          <w:sz w:val="28"/>
          <w:szCs w:val="28"/>
        </w:rPr>
        <w:t>報名單位</w:t>
      </w:r>
      <w:r w:rsidRPr="009833F9">
        <w:rPr>
          <w:rFonts w:ascii="新細明體 EUDC" w:eastAsia="新細明體 EUDC" w:hAnsi="新細明體 EUDC" w:hint="eastAsia"/>
          <w:sz w:val="28"/>
          <w:szCs w:val="28"/>
        </w:rPr>
        <w:t xml:space="preserve"> :</w:t>
      </w:r>
      <w:r w:rsidRPr="004B4C2F">
        <w:rPr>
          <w:rFonts w:ascii="新細明體 EUDC" w:eastAsia="新細明體 EUDC" w:hAnsi="新細明體 EUDC"/>
          <w:sz w:val="28"/>
          <w:szCs w:val="28"/>
          <w:highlight w:val="yellow"/>
        </w:rPr>
        <w:t>[$ParserTag5$]</w:t>
      </w:r>
    </w:p>
    <w:p w14:paraId="3E672BD2" w14:textId="3016E9A5" w:rsidR="009833F9" w:rsidRPr="009833F9" w:rsidRDefault="009833F9" w:rsidP="009833F9">
      <w:pPr>
        <w:rPr>
          <w:rFonts w:ascii="新細明體 EUDC" w:eastAsia="新細明體 EUDC" w:hAnsi="新細明體 EUDC"/>
          <w:sz w:val="28"/>
          <w:szCs w:val="28"/>
        </w:rPr>
      </w:pPr>
    </w:p>
    <w:p w14:paraId="505D4937" w14:textId="0E472E92" w:rsidR="009833F9" w:rsidRPr="009833F9" w:rsidRDefault="009833F9">
      <w:pPr>
        <w:rPr>
          <w:rFonts w:ascii="新細明體 EUDC" w:eastAsia="新細明體 EUDC" w:hAnsi="新細明體 EUDC"/>
          <w:sz w:val="28"/>
          <w:szCs w:val="28"/>
        </w:rPr>
      </w:pPr>
    </w:p>
    <w:p w14:paraId="74157553" w14:textId="1346D9E5" w:rsidR="009833F9" w:rsidRPr="009833F9" w:rsidRDefault="009833F9">
      <w:pPr>
        <w:rPr>
          <w:rFonts w:ascii="新細明體 EUDC" w:eastAsia="新細明體 EUDC" w:hAnsi="新細明體 EUDC"/>
          <w:b/>
          <w:bCs/>
          <w:sz w:val="28"/>
          <w:szCs w:val="28"/>
        </w:rPr>
      </w:pPr>
      <w:r w:rsidRPr="009833F9">
        <w:rPr>
          <w:rFonts w:ascii="新細明體 EUDC" w:eastAsia="新細明體 EUDC" w:hAnsi="新細明體 EUDC" w:hint="eastAsia"/>
          <w:b/>
          <w:bCs/>
          <w:szCs w:val="24"/>
        </w:rPr>
        <w:t>測驗結果及相關事宜，請參閱壽險公會網站：HTTP//WWW.LIA-ROC.ORG.TW</w:t>
      </w:r>
    </w:p>
    <w:p w14:paraId="6EB28489" w14:textId="3548FACD" w:rsidR="009833F9" w:rsidRPr="009833F9" w:rsidRDefault="009833F9">
      <w:pPr>
        <w:rPr>
          <w:rFonts w:ascii="新細明體 EUDC" w:eastAsia="新細明體 EUDC" w:hAnsi="新細明體 EUDC"/>
          <w:b/>
          <w:bCs/>
          <w:szCs w:val="24"/>
        </w:rPr>
      </w:pPr>
      <w:r w:rsidRPr="009833F9">
        <w:rPr>
          <w:rFonts w:ascii="新細明體 EUDC" w:eastAsia="新細明體 EUDC" w:hAnsi="新細明體 EUDC" w:hint="eastAsia"/>
          <w:b/>
          <w:bCs/>
          <w:szCs w:val="24"/>
        </w:rPr>
        <w:t>*姓名、身份證統一編號、出生日期如有錯誤，請於測驗前或測驗當日辦理</w:t>
      </w:r>
    </w:p>
    <w:p w14:paraId="4BCA5A7F" w14:textId="2021DADE" w:rsidR="009833F9" w:rsidRPr="009833F9" w:rsidRDefault="009833F9">
      <w:pPr>
        <w:rPr>
          <w:rFonts w:ascii="新細明體 EUDC" w:eastAsia="新細明體 EUDC" w:hAnsi="新細明體 EUDC"/>
          <w:b/>
          <w:bCs/>
          <w:szCs w:val="24"/>
        </w:rPr>
      </w:pPr>
      <w:r w:rsidRPr="009833F9">
        <w:rPr>
          <w:rFonts w:ascii="新細明體 EUDC" w:eastAsia="新細明體 EUDC" w:hAnsi="新細明體 EUDC" w:hint="eastAsia"/>
          <w:b/>
          <w:bCs/>
          <w:sz w:val="28"/>
          <w:szCs w:val="28"/>
        </w:rPr>
        <w:t xml:space="preserve"> </w:t>
      </w:r>
      <w:r w:rsidRPr="009833F9">
        <w:rPr>
          <w:rFonts w:ascii="新細明體 EUDC" w:eastAsia="新細明體 EUDC" w:hAnsi="新細明體 EUDC" w:hint="eastAsia"/>
          <w:b/>
          <w:bCs/>
          <w:szCs w:val="24"/>
        </w:rPr>
        <w:t>更正事宜，事後一律不予更正。</w:t>
      </w:r>
    </w:p>
    <w:p w14:paraId="1B715653" w14:textId="66097FD2" w:rsidR="009833F9" w:rsidRPr="009833F9" w:rsidRDefault="009833F9">
      <w:pPr>
        <w:rPr>
          <w:rFonts w:ascii="新細明體 EUDC" w:eastAsia="新細明體 EUDC" w:hAnsi="新細明體 EUDC"/>
          <w:sz w:val="28"/>
          <w:szCs w:val="28"/>
        </w:rPr>
      </w:pPr>
    </w:p>
    <w:p w14:paraId="288E91DD" w14:textId="77777777" w:rsidR="009833F9" w:rsidRDefault="009833F9">
      <w:pPr>
        <w:rPr>
          <w:rFonts w:ascii="新細明體 EUDC" w:eastAsia="新細明體 EUDC" w:hAnsi="新細明體 EUDC"/>
          <w:sz w:val="28"/>
          <w:szCs w:val="28"/>
        </w:rPr>
      </w:pPr>
    </w:p>
    <w:p w14:paraId="14A5D8E8" w14:textId="77777777" w:rsidR="009833F9" w:rsidRDefault="009833F9">
      <w:pPr>
        <w:rPr>
          <w:rFonts w:ascii="新細明體 EUDC" w:eastAsia="新細明體 EUDC" w:hAnsi="新細明體 EUDC"/>
          <w:sz w:val="28"/>
          <w:szCs w:val="28"/>
        </w:rPr>
      </w:pPr>
    </w:p>
    <w:p w14:paraId="5495D019" w14:textId="77777777" w:rsidR="009833F9" w:rsidRDefault="009833F9">
      <w:pPr>
        <w:rPr>
          <w:rFonts w:ascii="新細明體 EUDC" w:eastAsia="新細明體 EUDC" w:hAnsi="新細明體 EUDC"/>
          <w:sz w:val="28"/>
          <w:szCs w:val="28"/>
        </w:rPr>
      </w:pPr>
    </w:p>
    <w:p w14:paraId="1E13F396" w14:textId="77777777" w:rsidR="009833F9" w:rsidRDefault="009833F9">
      <w:pPr>
        <w:rPr>
          <w:rFonts w:ascii="新細明體 EUDC" w:eastAsia="新細明體 EUDC" w:hAnsi="新細明體 EUDC"/>
          <w:sz w:val="28"/>
          <w:szCs w:val="28"/>
        </w:rPr>
      </w:pPr>
    </w:p>
    <w:p w14:paraId="560E3060" w14:textId="77777777" w:rsidR="009833F9" w:rsidRDefault="009833F9">
      <w:pPr>
        <w:rPr>
          <w:rFonts w:ascii="新細明體 EUDC" w:eastAsia="新細明體 EUDC" w:hAnsi="新細明體 EUDC"/>
          <w:sz w:val="28"/>
          <w:szCs w:val="28"/>
        </w:rPr>
      </w:pPr>
    </w:p>
    <w:p w14:paraId="5AB96C71" w14:textId="77777777" w:rsidR="009833F9" w:rsidRDefault="009833F9">
      <w:pPr>
        <w:rPr>
          <w:rFonts w:ascii="新細明體 EUDC" w:eastAsia="新細明體 EUDC" w:hAnsi="新細明體 EUDC"/>
          <w:sz w:val="28"/>
          <w:szCs w:val="28"/>
        </w:rPr>
      </w:pPr>
    </w:p>
    <w:p w14:paraId="1877C8AC" w14:textId="77777777" w:rsidR="009833F9" w:rsidRDefault="009833F9">
      <w:pPr>
        <w:rPr>
          <w:rFonts w:ascii="新細明體 EUDC" w:eastAsia="新細明體 EUDC" w:hAnsi="新細明體 EUDC"/>
          <w:sz w:val="28"/>
          <w:szCs w:val="28"/>
        </w:rPr>
      </w:pPr>
    </w:p>
    <w:p w14:paraId="0A45F282" w14:textId="77777777" w:rsidR="009833F9" w:rsidRDefault="009833F9">
      <w:pPr>
        <w:rPr>
          <w:rFonts w:ascii="新細明體 EUDC" w:eastAsia="新細明體 EUDC" w:hAnsi="新細明體 EUDC"/>
          <w:sz w:val="28"/>
          <w:szCs w:val="28"/>
        </w:rPr>
      </w:pPr>
    </w:p>
    <w:p w14:paraId="01526B45" w14:textId="3D4DCB19" w:rsidR="009833F9" w:rsidRDefault="009833F9">
      <w:pPr>
        <w:rPr>
          <w:rFonts w:ascii="新細明體 EUDC" w:eastAsia="新細明體 EUDC" w:hAnsi="新細明體 EUDC"/>
          <w:sz w:val="28"/>
          <w:szCs w:val="28"/>
        </w:rPr>
      </w:pPr>
    </w:p>
    <w:p w14:paraId="15799B0B" w14:textId="58373DBA" w:rsidR="009833F9" w:rsidRPr="009833F9" w:rsidRDefault="009833F9">
      <w:pPr>
        <w:rPr>
          <w:rFonts w:ascii="新細明體 EUDC" w:eastAsia="新細明體 EUDC" w:hAnsi="新細明體 EUDC"/>
          <w:sz w:val="28"/>
          <w:szCs w:val="28"/>
        </w:rPr>
      </w:pPr>
      <w:r w:rsidRPr="009833F9">
        <w:rPr>
          <w:rFonts w:ascii="新細明體 EUDC" w:eastAsia="新細明體 EUDC" w:hAnsi="新細明體 EUDC" w:hint="eastAsia"/>
          <w:sz w:val="28"/>
          <w:szCs w:val="28"/>
        </w:rPr>
        <w:lastRenderedPageBreak/>
        <w:t>*請詳閱下列試場規則，並應同時攜帶入場證與身份證或駕照應考。</w:t>
      </w:r>
    </w:p>
    <w:p w14:paraId="76A6491A" w14:textId="765DB4AF" w:rsidR="009833F9" w:rsidRPr="009833F9" w:rsidRDefault="009833F9" w:rsidP="009833F9">
      <w:pPr>
        <w:jc w:val="center"/>
        <w:rPr>
          <w:rFonts w:ascii="新細明體 EUDC" w:eastAsia="新細明體 EUDC" w:hAnsi="新細明體 EUDC"/>
          <w:b/>
          <w:bCs/>
          <w:sz w:val="28"/>
          <w:szCs w:val="28"/>
        </w:rPr>
      </w:pPr>
      <w:r w:rsidRPr="009833F9">
        <w:rPr>
          <w:rFonts w:ascii="新細明體 EUDC" w:eastAsia="新細明體 EUDC" w:hAnsi="新細明體 EUDC"/>
          <w:noProof/>
          <w:sz w:val="28"/>
          <w:szCs w:val="28"/>
        </w:rPr>
        <mc:AlternateContent>
          <mc:Choice Requires="wps">
            <w:drawing>
              <wp:anchor distT="45720" distB="45720" distL="114300" distR="114300" simplePos="0" relativeHeight="251659264" behindDoc="0" locked="0" layoutInCell="1" allowOverlap="1" wp14:anchorId="7A57318B" wp14:editId="6DE88F13">
                <wp:simplePos x="0" y="0"/>
                <wp:positionH relativeFrom="margin">
                  <wp:align>right</wp:align>
                </wp:positionH>
                <wp:positionV relativeFrom="paragraph">
                  <wp:posOffset>590550</wp:posOffset>
                </wp:positionV>
                <wp:extent cx="5248275" cy="7629525"/>
                <wp:effectExtent l="19050" t="19050" r="28575" b="2857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7629525"/>
                        </a:xfrm>
                        <a:prstGeom prst="rect">
                          <a:avLst/>
                        </a:prstGeom>
                        <a:ln w="28575">
                          <a:headEnd/>
                          <a:tailEnd/>
                        </a:ln>
                      </wps:spPr>
                      <wps:style>
                        <a:lnRef idx="2">
                          <a:schemeClr val="dk1"/>
                        </a:lnRef>
                        <a:fillRef idx="1">
                          <a:schemeClr val="lt1"/>
                        </a:fillRef>
                        <a:effectRef idx="0">
                          <a:schemeClr val="dk1"/>
                        </a:effectRef>
                        <a:fontRef idx="minor">
                          <a:schemeClr val="dk1"/>
                        </a:fontRef>
                      </wps:style>
                      <wps:txbx>
                        <w:txbxContent>
                          <w:p w14:paraId="749E15D1" w14:textId="63C1E771"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測驗時間：</w:t>
                            </w:r>
                          </w:p>
                          <w:p w14:paraId="6FB7ED6E"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共同科目：「金融市場常識與職業道德」60分鐘。</w:t>
                            </w:r>
                          </w:p>
                          <w:p w14:paraId="7E1C948F"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參加測驗人員憑身分證件（限用中華民國身分證、中華民國駕駛執照、附有相片之健保ＩＣ卡、臺灣地區居留證、外僑永久居留證或大陸配偶領有之長期居留證件）入場，無身分證件者以缺考計；未攜帶報名單位列印之入場通知者，得於應試時，由監考人員提供相關資料後參加測驗。</w:t>
                            </w:r>
                          </w:p>
                          <w:p w14:paraId="297C3F0A"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參加測驗人員應於測驗預備鈴響時依座號入座，若遲到超過15分鐘者，不准進入考場，測驗開始30分鐘內不准離場。</w:t>
                            </w:r>
                          </w:p>
                          <w:p w14:paraId="1E8B3DAC"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參加測驗人員應依各報名單位列印之入場通知上所載之場次及試場座號對號入座，否則均以缺考計。</w:t>
                            </w:r>
                          </w:p>
                          <w:p w14:paraId="5EC9BD8F"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禁止攜帶參加測驗證件、文具以外之物品進入試場，不得使用電子計算機，否則以違規論。</w:t>
                            </w:r>
                          </w:p>
                          <w:p w14:paraId="7C79FB20"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測驗進行時，參加測驗人員禁止有左顧右盼、使用電子通訊設備、交談等企圖舞弊之情事，電子通訊設備(含行動電話、任何能發出聲響及具計時或鬧鈴功能之電子設備產品)應關閉電源，否則以違規論。試場內不得飲食，若經監考人員制止後仍再犯者請其立即離場並收回試卷及答案卷。</w:t>
                            </w:r>
                          </w:p>
                          <w:p w14:paraId="6EA3F535"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答案卷應依試卷規定填寫及塗記，答案卷上並不得出現任何與作答無關之註記，否則以缺考計。不得抄錄試題攜出試場，否則以違規論。意圖或已將試卷、答案卷攜出試場，以違規論。</w:t>
                            </w:r>
                          </w:p>
                          <w:p w14:paraId="2302D264"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參加測驗人員應在測驗規定時間內結束作答、繳交試卷及答案卡，測驗結束鈴聲響畢後，仍繼續作答者；或經監考人員制止後仍繼續作答者不繳交試卷及答案卡者，以違規論。</w:t>
                            </w:r>
                          </w:p>
                          <w:p w14:paraId="3E4DFB9A"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繳卷時，試卷及答案卷均應繳回，並請監考人員核對該參加測驗人員之入場通知並簽章；未帶書面通知者，得向監考人員索取相關資料並經監考人員簽章。</w:t>
                            </w:r>
                          </w:p>
                          <w:p w14:paraId="50FBECA4" w14:textId="3D223116" w:rsidR="009833F9" w:rsidRDefault="009833F9" w:rsidP="009833F9">
                            <w:r w:rsidRPr="009833F9">
                              <w:rPr>
                                <w:rFonts w:ascii="新細明體 EUDC" w:eastAsia="新細明體 EUDC" w:hAnsi="新細明體 EUDC" w:hint="eastAsia"/>
                              </w:rPr>
                              <w:t>參加測驗人員如有疑問（如試卷號碼與答案卷號碼不同、入場通知內容有誤、試題印刷不清等情形），應舉手表示，待監考人員近身時方可提出。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57318B" id="_x0000_t202" coordsize="21600,21600" o:spt="202" path="m,l,21600r21600,l21600,xe">
                <v:stroke joinstyle="miter"/>
                <v:path gradientshapeok="t" o:connecttype="rect"/>
              </v:shapetype>
              <v:shape id="文字方塊 2" o:spid="_x0000_s1026" type="#_x0000_t202" style="position:absolute;left:0;text-align:left;margin-left:362.05pt;margin-top:46.5pt;width:413.25pt;height:600.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" fillcolor="white [3201]" strokecolor="black [3200]" strokeweight="2.25pt">
                <v:textbox>
                  <w:txbxContent>
                    <w:p w14:paraId="749E15D1" w14:textId="63C1E771"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測驗時間：</w:t>
                      </w:r>
                    </w:p>
                    <w:p w14:paraId="6FB7ED6E"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共同科目：「金融市場常識與職業道德」60分鐘。</w:t>
                      </w:r>
                    </w:p>
                    <w:p w14:paraId="7E1C948F"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參加測驗人員憑身分證件（限用中華民國身分證、中華民國駕駛執照、附有相片之健保ＩＣ卡、臺灣地區居留證、外僑永久居留證或大陸配偶領有之長期居留證件）入場，無身分證件者以缺考計；未攜帶報名單位列印之入場通知者，得於應試時，由監考人員提供相關資料後參加測驗。</w:t>
                      </w:r>
                    </w:p>
                    <w:p w14:paraId="297C3F0A"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參加測驗人員應於測驗預備鈴響時依座號入座，若遲到超過15分鐘者，不准進入考場，測驗開始30分鐘內不准離場。</w:t>
                      </w:r>
                    </w:p>
                    <w:p w14:paraId="1E8B3DAC"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參加測驗人員應依各報名單位列印之入場通知上所載之場次及試場座號對號入座，否則均以缺考計。</w:t>
                      </w:r>
                    </w:p>
                    <w:p w14:paraId="5EC9BD8F"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禁止攜帶參加測驗證件、文具以外之物品進入試場，不得使用電子計算機，否則以違規論。</w:t>
                      </w:r>
                    </w:p>
                    <w:p w14:paraId="7C79FB20"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測驗進行時，參加測驗人員禁止有左顧右盼、使用電子通訊設備、交談等企圖舞弊之情事，電子通訊設備(含行動電話、任何能發出聲響及具計時或鬧鈴功能之電子設備產品)應關閉電源，否則以違規論。試場內不得飲食，若經監考人員制止後仍再犯者請其立即離場並收回試卷及答案卷。</w:t>
                      </w:r>
                    </w:p>
                    <w:p w14:paraId="6EA3F535"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答案卷應依試卷規定填寫及塗記，答案卷上並不得出現任何與作答無關之註記，否則以缺考計。不得抄錄試題攜出試場，否則以違規論。意圖或已將試卷、答案卷攜出試場，以違規論。</w:t>
                      </w:r>
                    </w:p>
                    <w:p w14:paraId="2302D264"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參加測驗人員應在測驗規定時間內結束作答、繳交試卷及答案卡，測驗結束鈴聲響畢後，仍繼續作答者；或經監考人員制止後仍繼續作答者不繳交試卷及答案卡者，以違規論。</w:t>
                      </w:r>
                    </w:p>
                    <w:p w14:paraId="3E4DFB9A" w14:textId="77777777" w:rsidR="009833F9" w:rsidRPr="009833F9" w:rsidRDefault="009833F9" w:rsidP="009833F9">
                      <w:pPr>
                        <w:rPr>
                          <w:rFonts w:ascii="新細明體 EUDC" w:eastAsia="新細明體 EUDC" w:hAnsi="新細明體 EUDC"/>
                        </w:rPr>
                      </w:pPr>
                      <w:r w:rsidRPr="009833F9">
                        <w:rPr>
                          <w:rFonts w:ascii="新細明體 EUDC" w:eastAsia="新細明體 EUDC" w:hAnsi="新細明體 EUDC" w:hint="eastAsia"/>
                        </w:rPr>
                        <w:t>繳卷時，試卷及答案卷均應繳回，並請監考人員核對該參加測驗人員之入場通知並簽章；未帶書面通知者，得向監考人員索取相關資料並經監考人員簽章。</w:t>
                      </w:r>
                    </w:p>
                    <w:p w14:paraId="50FBECA4" w14:textId="3D223116" w:rsidR="009833F9" w:rsidRDefault="009833F9" w:rsidP="009833F9">
                      <w:r w:rsidRPr="009833F9">
                        <w:rPr>
                          <w:rFonts w:ascii="新細明體 EUDC" w:eastAsia="新細明體 EUDC" w:hAnsi="新細明體 EUDC" w:hint="eastAsia"/>
                        </w:rPr>
                        <w:t>參加測驗人員如有疑問（如試卷號碼與答案卷號碼不同、入場通知內容有誤、試題印刷不清等情形），應舉手表示，待監考人員近身時方可提出。</w:t>
                      </w:r>
                    </w:p>
                  </w:txbxContent>
                </v:textbox>
                <w10:wrap type="square" anchorx="margin"/>
              </v:shape>
            </w:pict>
          </mc:Fallback>
        </mc:AlternateContent>
      </w:r>
      <w:r w:rsidRPr="009833F9">
        <w:rPr>
          <w:rFonts w:ascii="新細明體 EUDC" w:eastAsia="新細明體 EUDC" w:hAnsi="新細明體 EUDC" w:hint="eastAsia"/>
          <w:b/>
          <w:bCs/>
          <w:sz w:val="28"/>
          <w:szCs w:val="28"/>
        </w:rPr>
        <w:t>試    場    規    則</w:t>
      </w:r>
    </w:p>
    <w:p w14:paraId="68B569F9" w14:textId="67C48AFD" w:rsidR="009833F9" w:rsidRDefault="009833F9" w:rsidP="009833F9"/>
    <w:sectPr w:rsidR="009833F9">
      <w:foot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08129" w14:textId="77777777" w:rsidR="00175656" w:rsidRDefault="00175656" w:rsidP="009833F9">
      <w:r>
        <w:separator/>
      </w:r>
    </w:p>
  </w:endnote>
  <w:endnote w:type="continuationSeparator" w:id="0">
    <w:p w14:paraId="64426261" w14:textId="77777777" w:rsidR="00175656" w:rsidRDefault="00175656" w:rsidP="00983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EUDC">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EED7" w14:textId="7D167361" w:rsidR="009833F9" w:rsidRDefault="009833F9">
    <w:pPr>
      <w:pStyle w:val="a5"/>
    </w:pPr>
    <w:r>
      <w:rPr>
        <w:noProof/>
      </w:rPr>
      <mc:AlternateContent>
        <mc:Choice Requires="wps">
          <w:drawing>
            <wp:anchor distT="0" distB="0" distL="114300" distR="114300" simplePos="0" relativeHeight="251659264" behindDoc="0" locked="0" layoutInCell="0" allowOverlap="1" wp14:anchorId="61554C48" wp14:editId="5EBD06D6">
              <wp:simplePos x="0" y="0"/>
              <wp:positionH relativeFrom="page">
                <wp:posOffset>0</wp:posOffset>
              </wp:positionH>
              <wp:positionV relativeFrom="page">
                <wp:posOffset>10227945</wp:posOffset>
              </wp:positionV>
              <wp:extent cx="7560310" cy="273050"/>
              <wp:effectExtent l="0" t="0" r="0" b="12700"/>
              <wp:wrapNone/>
              <wp:docPr id="1" name="MSIPCM196c41c0becbc98064dccf64" descr="{&quot;HashCode&quot;:116020556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BFE914" w14:textId="0DC5B6E7" w:rsidR="009833F9" w:rsidRPr="009833F9" w:rsidRDefault="009833F9" w:rsidP="009833F9">
                          <w:pPr>
                            <w:rPr>
                              <w:rFonts w:ascii="Calibri" w:hAnsi="Calibri" w:cs="Calibri"/>
                              <w:color w:val="000000"/>
                              <w:sz w:val="16"/>
                            </w:rPr>
                          </w:pPr>
                          <w:r w:rsidRPr="009833F9">
                            <w:rPr>
                              <w:rFonts w:ascii="Calibri" w:hAnsi="Calibri" w:cs="Calibri"/>
                              <w:color w:val="000000"/>
                              <w:sz w:val="16"/>
                            </w:rPr>
                            <w:t>[AIA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1554C48" id="_x0000_t202" coordsize="21600,21600" o:spt="202" path="m,l,21600r21600,l21600,xe">
              <v:stroke joinstyle="miter"/>
              <v:path gradientshapeok="t" o:connecttype="rect"/>
            </v:shapetype>
            <v:shape id="MSIPCM196c41c0becbc98064dccf64" o:spid="_x0000_s1027" type="#_x0000_t202" alt="{&quot;HashCode&quot;:116020556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1ABFE914" w14:textId="0DC5B6E7" w:rsidR="009833F9" w:rsidRPr="009833F9" w:rsidRDefault="009833F9" w:rsidP="009833F9">
                    <w:pPr>
                      <w:rPr>
                        <w:rFonts w:ascii="Calibri" w:hAnsi="Calibri" w:cs="Calibri"/>
                        <w:color w:val="000000"/>
                        <w:sz w:val="16"/>
                      </w:rPr>
                    </w:pPr>
                    <w:r w:rsidRPr="009833F9">
                      <w:rPr>
                        <w:rFonts w:ascii="Calibri" w:hAnsi="Calibri" w:cs="Calibri"/>
                        <w:color w:val="000000"/>
                        <w:sz w:val="16"/>
                      </w:rPr>
                      <w:t>[AIA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B846D" w14:textId="77777777" w:rsidR="00175656" w:rsidRDefault="00175656" w:rsidP="009833F9">
      <w:r>
        <w:separator/>
      </w:r>
    </w:p>
  </w:footnote>
  <w:footnote w:type="continuationSeparator" w:id="0">
    <w:p w14:paraId="5D8F3157" w14:textId="77777777" w:rsidR="00175656" w:rsidRDefault="00175656" w:rsidP="009833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F9"/>
    <w:rsid w:val="00175656"/>
    <w:rsid w:val="004B4C2F"/>
    <w:rsid w:val="009833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7CB6A"/>
  <w15:chartTrackingRefBased/>
  <w15:docId w15:val="{8966FC0D-4C42-4A62-9478-F67D49C0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33F9"/>
    <w:pPr>
      <w:tabs>
        <w:tab w:val="center" w:pos="4153"/>
        <w:tab w:val="right" w:pos="8306"/>
      </w:tabs>
      <w:snapToGrid w:val="0"/>
    </w:pPr>
    <w:rPr>
      <w:sz w:val="20"/>
      <w:szCs w:val="20"/>
    </w:rPr>
  </w:style>
  <w:style w:type="character" w:customStyle="1" w:styleId="a4">
    <w:name w:val="頁首 字元"/>
    <w:basedOn w:val="a0"/>
    <w:link w:val="a3"/>
    <w:uiPriority w:val="99"/>
    <w:rsid w:val="009833F9"/>
    <w:rPr>
      <w:sz w:val="20"/>
      <w:szCs w:val="20"/>
    </w:rPr>
  </w:style>
  <w:style w:type="paragraph" w:styleId="a5">
    <w:name w:val="footer"/>
    <w:basedOn w:val="a"/>
    <w:link w:val="a6"/>
    <w:uiPriority w:val="99"/>
    <w:unhideWhenUsed/>
    <w:rsid w:val="009833F9"/>
    <w:pPr>
      <w:tabs>
        <w:tab w:val="center" w:pos="4153"/>
        <w:tab w:val="right" w:pos="8306"/>
      </w:tabs>
      <w:snapToGrid w:val="0"/>
    </w:pPr>
    <w:rPr>
      <w:sz w:val="20"/>
      <w:szCs w:val="20"/>
    </w:rPr>
  </w:style>
  <w:style w:type="character" w:customStyle="1" w:styleId="a6">
    <w:name w:val="頁尾 字元"/>
    <w:basedOn w:val="a0"/>
    <w:link w:val="a5"/>
    <w:uiPriority w:val="99"/>
    <w:rsid w:val="009833F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45</Words>
  <Characters>260</Characters>
  <Application>Microsoft Office Word</Application>
  <DocSecurity>0</DocSecurity>
  <Lines>2</Lines>
  <Paragraphs>1</Paragraphs>
  <ScaleCrop>false</ScaleCrop>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Vivan-WA</dc:creator>
  <cp:keywords/>
  <dc:description/>
  <cp:lastModifiedBy>Chen, Vivan-WA</cp:lastModifiedBy>
  <cp:revision>2</cp:revision>
  <dcterms:created xsi:type="dcterms:W3CDTF">2022-11-30T09:00:00Z</dcterms:created>
  <dcterms:modified xsi:type="dcterms:W3CDTF">2022-11-30T09:24:00Z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ac7489-8e74-4740-9640-de6a90bd2a80_Enabled">
    <vt:lpwstr>true</vt:lpwstr>
  </property>
  <property fmtid="{D5CDD505-2E9C-101B-9397-08002B2CF9AE}" pid="3" name="MSIP_Label_edac7489-8e74-4740-9640-de6a90bd2a80_SetDate">
    <vt:lpwstr>2022-11-30T09:24:13Z</vt:lpwstr>
  </property>
  <property fmtid="{D5CDD505-2E9C-101B-9397-08002B2CF9AE}" pid="4" name="MSIP_Label_edac7489-8e74-4740-9640-de6a90bd2a80_Method">
    <vt:lpwstr>Standard</vt:lpwstr>
  </property>
  <property fmtid="{D5CDD505-2E9C-101B-9397-08002B2CF9AE}" pid="5" name="MSIP_Label_edac7489-8e74-4740-9640-de6a90bd2a80_Name">
    <vt:lpwstr>edac7489-8e74-4740-9640-de6a90bd2a80</vt:lpwstr>
  </property>
  <property fmtid="{D5CDD505-2E9C-101B-9397-08002B2CF9AE}" pid="6" name="MSIP_Label_edac7489-8e74-4740-9640-de6a90bd2a80_SiteId">
    <vt:lpwstr>7f2c1900-9fd4-4b89-91d3-79a649996f0a</vt:lpwstr>
  </property>
  <property fmtid="{D5CDD505-2E9C-101B-9397-08002B2CF9AE}" pid="7" name="MSIP_Label_edac7489-8e74-4740-9640-de6a90bd2a80_ActionId">
    <vt:lpwstr>a03b1002-a0ec-49c6-ac2c-3e98b8b7ff74</vt:lpwstr>
  </property>
  <property fmtid="{D5CDD505-2E9C-101B-9397-08002B2CF9AE}" pid="8" name="MSIP_Label_edac7489-8e74-4740-9640-de6a90bd2a80_ContentBits">
    <vt:lpwstr>2</vt:lpwstr>
  </property>
</Properties>
</file>