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Mean :33.2713</w:t>
      </w:r>
    </w:p>
    <w:p>
      <w:pPr>
        <w:pStyle w:val="ListParagraph"/>
        <w:spacing w:before="0" w:after="0"/>
        <w:contextualSpacing/>
        <w:rPr/>
      </w:pPr>
      <w:r>
        <w:rPr/>
        <w:t>Standard deviation:16.9454</w:t>
      </w:r>
    </w:p>
    <w:p>
      <w:pPr>
        <w:pStyle w:val="ListParagraph"/>
        <w:spacing w:before="0" w:after="0"/>
        <w:contextualSpacing/>
        <w:rPr/>
      </w:pPr>
      <w:r>
        <w:rPr/>
        <w:t>Variance : 287.14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>Answer :- 7(approx)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can we say about the skewness of this dataset?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>Right-Skewed distribution.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If it was found that the data point with the value 25 is actually 2.5, how would the new box-plot be affected?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 xml:space="preserve">If the data point 2.5,then the points are </w:t>
      </w:r>
      <w:r>
        <w:rPr>
          <w:rFonts w:eastAsia="" w:eastAsiaTheme="minorEastAsia"/>
        </w:rPr>
        <w:t xml:space="preserve">symmetrically </w:t>
      </w:r>
      <w:r>
        <w:rPr/>
        <w:t>distributed.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Where would the mode of this dataset lie?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/>
        <w:t xml:space="preserve">The mode of data set lies Between 5-7 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Comment on the skewness of the dataset.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/>
        <w:t>Positive skewness ...because the datas are highly distributed to low distribution.</w:t>
        <w:tab/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/>
        <w:t>In these above case,the histogram not following a normal distribution..they have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/>
        <w:t xml:space="preserve">peaks inside the data. so boxplot </w:t>
      </w:r>
      <w:r>
        <w:rPr>
          <w:rFonts w:eastAsia="" w:cs="" w:eastAsiaTheme="minorEastAsia"/>
          <w:color w:val="auto"/>
          <w:kern w:val="0"/>
          <w:sz w:val="22"/>
          <w:szCs w:val="22"/>
          <w:lang w:val="en-US" w:eastAsia="en-US" w:bidi="ar-SA"/>
        </w:rPr>
        <w:t>causing a</w:t>
      </w:r>
      <w:r>
        <w:rPr/>
        <w:t xml:space="preserve"> distribution on datas to look normal.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BaskervilleBE-Regular"/>
        </w:rPr>
        <w:t xml:space="preserve">           </w:t>
      </w:r>
      <w:r>
        <w:rPr>
          <w:rFonts w:cs="BaskervilleBE-Regular"/>
        </w:rPr>
        <w:t>probability of 1 wrong call in 200 calls(Pw)=1/200=0.005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BaskervilleBE-Regular"/>
        </w:rPr>
        <w:t xml:space="preserve">           </w:t>
      </w:r>
      <w:r>
        <w:rPr>
          <w:rFonts w:eastAsia="" w:cs="BaskervilleBE-Regular" w:eastAsiaTheme="minorEastAsia"/>
          <w:color w:val="auto"/>
          <w:kern w:val="0"/>
          <w:sz w:val="22"/>
          <w:szCs w:val="22"/>
          <w:lang w:val="en-US" w:eastAsia="en-US" w:bidi="ar-SA"/>
        </w:rPr>
        <w:t>probability of not wrong call(Pn) =1-0.005=0.995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eastAsia="" w:cs="BaskervilleBE-Regular" w:eastAsiaTheme="minorEastAsia"/>
          <w:color w:val="auto"/>
          <w:kern w:val="0"/>
          <w:sz w:val="22"/>
          <w:szCs w:val="22"/>
          <w:lang w:val="en-US" w:eastAsia="en-US" w:bidi="ar-SA"/>
        </w:rPr>
        <w:t xml:space="preserve">           </w:t>
      </w:r>
      <w:r>
        <w:rPr>
          <w:rFonts w:eastAsia="" w:cs="BaskervilleBE-Regular" w:eastAsiaTheme="minorEastAsia"/>
          <w:color w:val="auto"/>
          <w:kern w:val="0"/>
          <w:sz w:val="22"/>
          <w:szCs w:val="22"/>
          <w:lang w:val="en-US" w:eastAsia="en-US" w:bidi="ar-SA"/>
        </w:rPr>
        <w:t>probability of get wrong call in 5 calls=1-probability of not get wrong calls</w:t>
      </w:r>
    </w:p>
    <w:p>
      <w:pPr>
        <w:pStyle w:val="ListParagraph"/>
        <w:spacing w:before="0" w:after="0"/>
        <w:ind w:left="720" w:hanging="0"/>
        <w:contextualSpacing/>
        <w:rPr/>
      </w:pPr>
      <w:r>
        <w:rPr>
          <w:rFonts w:eastAsia="" w:cs="BaskervilleBE-Regular" w:eastAsiaTheme="minorEastAsia"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</w:t>
      </w:r>
      <w:r>
        <w:rPr>
          <w:rFonts w:eastAsia="" w:cs="BaskervilleBE-Regular" w:eastAsiaTheme="minorEastAsia"/>
          <w:color w:val="auto"/>
          <w:kern w:val="0"/>
          <w:sz w:val="22"/>
          <w:szCs w:val="22"/>
          <w:lang w:val="en-US" w:eastAsia="en-US" w:bidi="ar-SA"/>
        </w:rPr>
        <w:t>=1-(0.995)^5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eastAsia="" w:cs="BaskervilleBE-Regular" w:eastAsiaTheme="minorEastAsia"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</w:t>
      </w:r>
      <w:r>
        <w:rPr>
          <w:rFonts w:eastAsia="" w:cs="BaskervilleBE-Regular" w:eastAsiaTheme="minorEastAsia"/>
          <w:color w:val="auto"/>
          <w:kern w:val="0"/>
          <w:sz w:val="28"/>
          <w:szCs w:val="28"/>
          <w:lang w:val="en-US" w:eastAsia="en-US" w:bidi="ar-SA"/>
        </w:rPr>
        <w:t xml:space="preserve">                          </w:t>
      </w:r>
      <w:r>
        <w:rPr>
          <w:rFonts w:eastAsia="" w:cs="BaskervilleBE-Regular" w:eastAsiaTheme="minorEastAsia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" w:cs="BaskervilleBE-Regular" w:eastAsiaTheme="minorEastAsia"/>
          <w:color w:val="auto"/>
          <w:kern w:val="0"/>
          <w:sz w:val="24"/>
          <w:szCs w:val="24"/>
          <w:lang w:val="en-US" w:eastAsia="en-US" w:bidi="ar-SA"/>
        </w:rPr>
        <w:t>=1-0.975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sz w:val="24"/>
          <w:szCs w:val="24"/>
        </w:rPr>
      </w:pPr>
      <w:r>
        <w:rPr>
          <w:rFonts w:eastAsia="" w:cs="BaskervilleBE-Regular" w:eastAsiaTheme="minorEastAsia"/>
          <w:color w:val="auto"/>
          <w:kern w:val="0"/>
          <w:sz w:val="24"/>
          <w:szCs w:val="24"/>
          <w:lang w:val="en-US" w:eastAsia="en-US" w:bidi="ar-SA"/>
        </w:rPr>
        <w:t xml:space="preserve">           </w:t>
      </w:r>
      <w:r>
        <w:rPr>
          <w:rFonts w:eastAsia="" w:cs="BaskervilleBE-Regular" w:eastAsiaTheme="minorEastAsia"/>
          <w:color w:val="auto"/>
          <w:kern w:val="0"/>
          <w:sz w:val="24"/>
          <w:szCs w:val="24"/>
          <w:lang w:val="en-US" w:eastAsia="en-US" w:bidi="ar-SA"/>
        </w:rPr>
        <w:t>probability of get wrong call in 5 calls=0.025=2.5%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</w:r>
    </w:p>
    <w:p>
      <w:pPr>
        <w:pStyle w:val="ListParagraph"/>
        <w:spacing w:before="0" w:after="0"/>
        <w:contextualSpacing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x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-2,000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-1,000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1000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2000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3000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ascii="Calibri" w:hAnsi="Calibri" w:eastAsiaTheme="minorEastAsia"/>
                <w:sz w:val="22"/>
                <w:szCs w:val="22"/>
              </w:rPr>
              <w:t>0.1</w:t>
            </w:r>
          </w:p>
        </w:tc>
      </w:tr>
    </w:tbl>
    <w:p>
      <w:pPr>
        <w:pStyle w:val="ListParagraph"/>
        <w:spacing w:before="0"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/>
          <w:sz w:val="22"/>
          <w:szCs w:val="22"/>
        </w:rPr>
      </w:pPr>
      <w:bookmarkStart w:id="1" w:name="__DdeLink__178_3259252395"/>
      <w:r>
        <w:rPr>
          <w:rFonts w:ascii="Calibri" w:hAnsi="Calibri"/>
          <w:sz w:val="22"/>
          <w:szCs w:val="22"/>
        </w:rPr>
        <w:t>What is the most likely monetary outcome of the business venture?</w:t>
      </w:r>
      <w:bookmarkEnd w:id="1"/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X=2000 with the probability of 0.3.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 the venture likely to be successful? Explain</w:t>
      </w:r>
    </w:p>
    <w:p>
      <w:pPr>
        <w:pStyle w:val="Normal"/>
        <w:numPr>
          <w:ilvl w:val="0"/>
          <w:numId w:val="0"/>
        </w:numPr>
        <w:spacing w:before="0" w:after="0"/>
        <w:ind w:left="1440" w:hanging="0"/>
        <w:contextualSpacing/>
        <w:rPr>
          <w:rFonts w:ascii="Calibri" w:hAnsi="Calibri"/>
          <w:sz w:val="22"/>
          <w:szCs w:val="22"/>
        </w:rPr>
      </w:pPr>
      <w:bookmarkStart w:id="2" w:name="t1k_1"/>
      <w:bookmarkEnd w:id="2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If the venture can maintain for long term business then eventually it will be successful </w:t>
      </w:r>
      <w:bookmarkStart w:id="3" w:name="t1l_1"/>
      <w:bookmarkEnd w:id="3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since the probability of non-negative return is higher than 0.50 and the expected value for </w:t>
      </w:r>
      <w:bookmarkStart w:id="4" w:name="t1m_1"/>
      <w:bookmarkEnd w:id="4"/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return is a positive number ($800)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long-term average earning of business ventures of this kind? Explain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=(x*px)=(-2000*0.1)+(-1000*0.1)+(0*0.2)+(1000*0.2)+(2000*0.3)+(3000*0.1)=800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good measure of the risk involved in a venture of this kind? Compute this measure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good measure of the risk involved in a venture of this kind is standard deviation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footerReference w:type="default" r:id="rId4"/>
      <w:type w:val="nextPage"/>
      <w:pgSz w:w="12240" w:h="15840"/>
      <w:pgMar w:left="1440" w:right="1440" w:header="0" w:top="90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LibreOffice/6.3.4.2$Windows_X86_64 LibreOffice_project/60da17e045e08f1793c57c00ba83cdfce946d0aa</Application>
  <Pages>4</Pages>
  <Words>560</Words>
  <Characters>3042</Characters>
  <CharactersWithSpaces>3743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en-IN</dc:language>
  <cp:lastModifiedBy/>
  <dcterms:modified xsi:type="dcterms:W3CDTF">2020-01-02T15:43:38Z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