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c42ca5c39c4322" /><Relationship Type="http://schemas.openxmlformats.org/package/2006/relationships/metadata/core-properties" Target="/docProps/core.xml" Id="R73d7efc0612a4591" /><Relationship Type="http://schemas.openxmlformats.org/officeDocument/2006/relationships/extended-properties" Target="/docProps/app.xml" Id="R6aa393fcce6c42c5" /><Relationship Type="http://schemas.openxmlformats.org/officeDocument/2006/relationships/custom-properties" Target="/docProps/custom.xml" Id="Rd0a8897327b8432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2"/>
        </w:rPr>
        <w:t xml:space="preserve">PharmSignals — Complete Repository Overview</w:t>
      </w:r>
    </w:p>
    <w:p w14:paraId="00100002" w14:textId="00100003">
      <w:pPr>
        <w:pStyle w:val="Normal"/>
        <w:spacing w:after="80"/>
        <w:jc w:val="center"/>
      </w:pPr>
      <w:r>
        <w:rPr>
          <w:color w:val="57606A"/>
          <w:sz w:val="26"/>
        </w:rPr>
        <w:t xml:space="preserve">Drug Safety Signal Detection &amp; Regulatory Submission Readiness</w:t>
      </w:r>
    </w:p>
    <w:p w14:paraId="00100004" w14:textId="00100005">
      <w:pPr>
        <w:pStyle w:val="Normal"/>
        <w:spacing w:after="360"/>
        <w:jc w:val="center"/>
      </w:pPr>
      <w:r>
        <w:rPr>
          <w:color w:val="57606A"/>
          <w:sz w:val="22"/>
        </w:rPr>
        <w:t xml:space="preserve">Team: Demon Slayer  |  Track: AI  |  Problem Statement: P2  |  IBM Bobathon 2026</w:t>
      </w:r>
    </w:p>
    <w:p w14:paraId="00100006" w14:textId="00100007">
      <w:pPr>
        <w:pStyle w:val="Heading1"/>
        <w:spacing w:before="200" w:after="120"/>
      </w:pPr>
      <w:r>
        <w:rPr>
          <w:b/>
          <w:sz w:val="32"/>
        </w:rPr>
        <w:t xml:space="preserve">What the Project Is</w:t>
      </w:r>
    </w:p>
    <w:p w14:paraId="00100008" w14:textId="00100009">
      <w:pPr>
        <w:pStyle w:val="Normal"/>
        <w:spacing w:after="80"/>
      </w:pPr>
      <w:r>
        <w:rPr>
          <w:sz w:val="22"/>
        </w:rPr>
        <w:t xml:space="preserve">PharmSignals is a full-stack clinical intelligence and regulatory compliance platform with two core workflows:</w:t>
      </w:r>
    </w:p>
    <w:p w14:paraId="0010000A" w14:textId="0010000B">
      <w:pPr>
        <w:pStyle w:val="Normal"/>
        <w:spacing w:after="80"/>
      </w:pPr>
      <w:r>
        <w:rPr>
          <w:sz w:val="22"/>
        </w:rPr>
        <w:t xml:space="preserve">1.  Post-marketing Pharmacovigilance — detects drug safety signals from real openFDA FAERS adverse event data using statistical disproportionality analysis.</w:t>
      </w:r>
    </w:p>
    <w:p w14:paraId="0010000C" w14:textId="0010000D">
      <w:pPr>
        <w:pStyle w:val="Normal"/>
        <w:spacing w:after="80"/>
      </w:pPr>
      <w:r>
        <w:rPr>
          <w:sz w:val="22"/>
        </w:rPr>
        <w:t xml:space="preserve">2.  Pre-marketing Regulatory Dossier Compliance — validates ICH M4 CTD dossier readiness against authoritative guideline requirements across Modules 1–5.</w:t>
      </w:r>
    </w:p>
    <w:p w14:paraId="0010000E" w14:textId="0010000F">
      <w:pPr>
        <w:pStyle w:val="Normal"/>
        <w:spacing w:after="240"/>
      </w:pPr>
      <w:r>
        <w:rPr>
          <w:sz w:val="22"/>
        </w:rPr>
        <w:t xml:space="preserve">Both workflows are accessible through a unified white-theme enterprise UI with an embedded IBM Bob AI Copilot.</w:t>
      </w:r>
    </w:p>
    <w:p w14:paraId="00100010" w14:textId="00100011">
      <w:pPr>
        <w:pStyle w:val="Heading1"/>
        <w:spacing w:before="200" w:after="120"/>
      </w:pPr>
      <w:r>
        <w:rPr>
          <w:b/>
          <w:sz w:val="32"/>
        </w:rPr>
        <w:t xml:space="preserve">Backend — Python FastAPI (src/backend/)</w:t>
      </w:r>
    </w:p>
    <w:p w14:paraId="00100012" w14:textId="00100013">
      <w:pPr>
        <w:pStyle w:val="Heading2"/>
        <w:spacing w:before="160" w:after="80"/>
      </w:pPr>
      <w:r>
        <w:rPr>
          <w:b/>
          <w:sz w:val="26"/>
        </w:rPr>
        <w:t xml:space="preserve">Module M1 — FAERS Data Ingest</w:t>
      </w:r>
    </w:p>
    <w:p w14:paraId="00100014" w14:textId="00100015">
      <w:pPr>
        <w:pStyle w:val="Normal"/>
        <w:spacing w:after="80"/>
      </w:pPr>
      <w:r>
        <w:rPr>
          <w:b/>
          <w:color w:val="1A7F37"/>
          <w:sz w:val="22"/>
        </w:rPr>
        <w:t xml:space="preserve">Status: Fully Implemented</w:t>
      </w:r>
    </w:p>
    <w:p w14:paraId="00100016" w14:textId="00100017">
      <w:pPr>
        <w:pStyle w:val="Normal"/>
        <w:spacing w:after="160"/>
      </w:pPr>
      <w:r>
        <w:rPr>
          <w:sz w:val="22"/>
        </w:rPr>
        <w:t xml:space="preserve">Loads real openFDA FAERS adverse event data from merged_clean.csv. Normalises drug names to uppercase (MedDRA-style). Validates records — drops empty rows, clamps negative counts. Builds drug-event contingency tables from per-drug signal CSVs (VIOXX, BAYCOL, AVANDIA). The full M1 pipeline is callable via run_m1_pipeline().</w:t>
      </w:r>
    </w:p>
    <w:p w14:paraId="00100018" w14:textId="00100019">
      <w:pPr>
        <w:pStyle w:val="Heading2"/>
        <w:spacing w:before="160" w:after="80"/>
      </w:pPr>
      <w:r>
        <w:rPr>
          <w:b/>
          <w:sz w:val="26"/>
        </w:rPr>
        <w:t xml:space="preserve">Module M2 — PRR Signal Engine</w:t>
      </w:r>
    </w:p>
    <w:p w14:paraId="0010001A" w14:textId="0010001B">
      <w:pPr>
        <w:pStyle w:val="Normal"/>
        <w:spacing w:after="80"/>
      </w:pPr>
      <w:r>
        <w:rPr>
          <w:b/>
          <w:color w:val="1A7F37"/>
          <w:sz w:val="22"/>
        </w:rPr>
        <w:t xml:space="preserve">Status: Fully Implemented</w:t>
      </w:r>
    </w:p>
    <w:p w14:paraId="0010001C" w14:textId="0010001D">
      <w:pPr>
        <w:pStyle w:val="Normal"/>
        <w:spacing w:after="160"/>
      </w:pPr>
      <w:r>
        <w:rPr>
          <w:sz w:val="22"/>
        </w:rPr>
        <w:t xml:space="preserve">Computes Evans Proportional Reporting Ratio (PRR) using a/(a+b) divided by c/(c+d). Computes Pearson Chi-Square with SciPy's chi2_contingency. Computes log-normal 95% Confidence Intervals. Classifies signals as SIGNAL / WEAK_SIGNAL / NOISE using FDA thresholds (PRR &gt;= 2.0, Chi-Square &gt;= 4.0, cases &gt;= 3). Supports bulk run_prr_analysis() over full contingency tables, results ranked by PRR descending.</w:t>
      </w:r>
    </w:p>
    <w:p w14:paraId="0010001E" w14:textId="0010001F">
      <w:pPr>
        <w:pStyle w:val="Heading2"/>
        <w:spacing w:before="160" w:after="80"/>
      </w:pPr>
      <w:r>
        <w:rPr>
          <w:b/>
          <w:sz w:val="26"/>
        </w:rPr>
        <w:t xml:space="preserve">Module M3 — Digital Twin Backtest</w:t>
      </w:r>
    </w:p>
    <w:p w14:paraId="00100020" w14:textId="00100021">
      <w:pPr>
        <w:pStyle w:val="Normal"/>
        <w:spacing w:after="80"/>
      </w:pPr>
      <w:r>
        <w:rPr>
          <w:b/>
          <w:color w:val="1A7F37"/>
          <w:sz w:val="22"/>
        </w:rPr>
        <w:t xml:space="preserve">Status: Fully Implemented</w:t>
      </w:r>
    </w:p>
    <w:p w14:paraId="00100022" w14:textId="00100023">
      <w:pPr>
        <w:pStyle w:val="Normal"/>
        <w:spacing w:after="80"/>
      </w:pPr>
      <w:r>
        <w:rPr>
          <w:sz w:val="22"/>
        </w:rPr>
        <w:t xml:space="preserve">Loads pre-computed monthly PRR trajectory CSVs for VIOXX, BAYCOL, and AVANDIA. Reads backtest_summary.csv for detection dates, lead times, and verdicts. Key results:</w:t>
      </w:r>
    </w:p>
    <w:p w14:paraId="00100024" w14:textId="00100025">
      <w:pPr>
        <w:pStyle w:val="Normal"/>
        <w:spacing w:after="60"/>
      </w:pPr>
      <w:r>
        <w:rPr>
          <w:sz w:val="22"/>
        </w:rPr>
        <w:t xml:space="preserve">  •  VIOXX: +242 days early detection before 2004-09-30 market withdrawal.</w:t>
      </w:r>
    </w:p>
    <w:p w14:paraId="00100026" w14:textId="00100027">
      <w:pPr>
        <w:pStyle w:val="Normal"/>
        <w:spacing w:after="60"/>
      </w:pPr>
      <w:r>
        <w:rPr>
          <w:sz w:val="22"/>
        </w:rPr>
        <w:t xml:space="preserve">  •  AVANDIA: +1,205 days early detection before 2007-05-21 FDA Boxed Warning.</w:t>
      </w:r>
    </w:p>
    <w:p w14:paraId="00100028" w14:textId="00100029">
      <w:pPr>
        <w:pStyle w:val="Normal"/>
        <w:spacing w:after="60"/>
      </w:pPr>
      <w:r>
        <w:rPr>
          <w:sz w:val="22"/>
        </w:rPr>
        <w:t xml:space="preserve">  •  BAYCOL: Transparently reports DATA_UNAVAILABLE_PRE_WITHDRAWAL (openFDA starts 2004; Baycol withdrawn 2001).</w:t>
      </w:r>
    </w:p>
    <w:p w14:paraId="0010002A" w14:textId="0010002B">
      <w:pPr>
        <w:pStyle w:val="Normal"/>
        <w:spacing w:after="160"/>
      </w:pPr>
      <w:r>
        <w:rPr>
          <w:sz w:val="22"/>
        </w:rPr>
        <w:t xml:space="preserve">Includes get_emerging_signals() for trend-based early warning and drug alias resolution (ROFECOXIB → VIOXX, etc.). Trajectory plots are pre-generated as PNGs.</w:t>
      </w:r>
    </w:p>
    <w:p w14:paraId="0010002C" w14:textId="0010002D">
      <w:pPr>
        <w:pStyle w:val="Heading2"/>
        <w:spacing w:before="160" w:after="80"/>
      </w:pPr>
      <w:r>
        <w:rPr>
          <w:b/>
          <w:sz w:val="26"/>
        </w:rPr>
        <w:t xml:space="preserve">Module M4 — ICH M4 RAG CTD Readiness Checker</w:t>
      </w:r>
    </w:p>
    <w:p w14:paraId="0010002E" w14:textId="0010002F">
      <w:pPr>
        <w:pStyle w:val="Normal"/>
        <w:spacing w:after="80"/>
      </w:pPr>
      <w:r>
        <w:rPr>
          <w:b/>
          <w:color w:val="1A7F37"/>
          <w:sz w:val="22"/>
        </w:rPr>
        <w:t xml:space="preserve">Status: Fully Implemented (most complex module)</w:t>
      </w:r>
    </w:p>
    <w:p w14:paraId="00100030" w14:textId="00100031">
      <w:pPr>
        <w:pStyle w:val="Normal"/>
        <w:spacing w:after="80"/>
      </w:pPr>
      <w:r>
        <w:rPr>
          <w:sz w:val="22"/>
        </w:rPr>
        <w:t xml:space="preserve">The M4 module is a multi-component RAG (Retrieval-Augmented Generation) pipeline for validating CTD dossier readiness. Key components:</w:t>
      </w:r>
    </w:p>
    <w:p w14:paraId="00100032" w14:textId="00100033">
      <w:pPr>
        <w:pStyle w:val="Normal"/>
        <w:spacing w:after="60"/>
      </w:pPr>
      <w:r>
        <w:rPr>
          <w:sz w:val="22"/>
        </w:rPr>
        <w:t xml:space="preserve">  •  schema.py — Pydantic models: DossierOutlineInput, GapItem, GapReportOutput, ICHSectionRequirement with enums for GapStatus, CriticalityLevel, MatchMethod.</w:t>
      </w:r>
    </w:p>
    <w:p w14:paraId="00100034" w14:textId="00100035">
      <w:pPr>
        <w:pStyle w:val="Normal"/>
        <w:spacing w:after="60"/>
      </w:pPr>
      <w:r>
        <w:rPr>
          <w:sz w:val="22"/>
        </w:rPr>
        <w:t xml:space="preserve">  •  knowledge/ich_m4_sections.json — Authoritative ICH M4 section requirements for Modules 1–5.</w:t>
      </w:r>
    </w:p>
    <w:p w14:paraId="00100036" w14:textId="00100037">
      <w:pPr>
        <w:pStyle w:val="Normal"/>
        <w:spacing w:after="60"/>
      </w:pPr>
      <w:r>
        <w:rPr>
          <w:sz w:val="22"/>
        </w:rPr>
        <w:t xml:space="preserve">  •  knowledge/loader.py — In-memory knowledge base with get_by_module(), get_all().</w:t>
      </w:r>
    </w:p>
    <w:p w14:paraId="00100038" w14:textId="00100039">
      <w:pPr>
        <w:pStyle w:val="Normal"/>
        <w:spacing w:after="60"/>
      </w:pPr>
      <w:r>
        <w:rPr>
          <w:sz w:val="22"/>
        </w:rPr>
        <w:t xml:space="preserve">  •  retriever.py — ICHRetriever with hybrid exact + semantic section matching.</w:t>
      </w:r>
    </w:p>
    <w:p w14:paraId="0010003A" w14:textId="0010003B">
      <w:pPr>
        <w:pStyle w:val="Normal"/>
        <w:spacing w:after="60"/>
      </w:pPr>
      <w:r>
        <w:rPr>
          <w:sz w:val="22"/>
        </w:rPr>
        <w:t xml:space="preserve">  •  gap_checker.py — Evaluates candidate dossier sections against ICH requirements, produces GapItem list.</w:t>
      </w:r>
    </w:p>
    <w:p w14:paraId="0010003C" w14:textId="0010003D">
      <w:pPr>
        <w:pStyle w:val="Normal"/>
        <w:spacing w:after="60"/>
      </w:pPr>
      <w:r>
        <w:rPr>
          <w:sz w:val="22"/>
        </w:rPr>
        <w:t xml:space="preserve">  •  completeness.py — Weighted completeness score calculator (overall %, per-module).</w:t>
      </w:r>
    </w:p>
    <w:p w14:paraId="0010003E" w14:textId="0010003F">
      <w:pPr>
        <w:pStyle w:val="Normal"/>
        <w:spacing w:after="60"/>
      </w:pPr>
      <w:r>
        <w:rPr>
          <w:sz w:val="22"/>
        </w:rPr>
        <w:t xml:space="preserve">  •  dossier_parser.py — Parses structured JSON, plain text, or raw strings into DossierOutlineInput.</w:t>
      </w:r>
    </w:p>
    <w:p w14:paraId="00100040" w14:textId="00100041">
      <w:pPr>
        <w:pStyle w:val="Normal"/>
        <w:spacing w:after="60"/>
      </w:pPr>
      <w:r>
        <w:rPr>
          <w:sz w:val="22"/>
        </w:rPr>
        <w:t xml:space="preserve">  •  pdf_extractor.py — CTDPDFExtractor using pdfplumber/pypdfium2 to extract sections from uploaded PDFs.</w:t>
      </w:r>
    </w:p>
    <w:p w14:paraId="00100042" w14:textId="00100043">
      <w:pPr>
        <w:pStyle w:val="Normal"/>
        <w:spacing w:after="60"/>
      </w:pPr>
      <w:r>
        <w:rPr>
          <w:sz w:val="22"/>
        </w:rPr>
        <w:t xml:space="preserve">  •  gemini_reasoner.py — GeminiGroundedReasoner; optional Gemini 2.5 Flash reasoning with deterministic fallback.</w:t>
      </w:r>
    </w:p>
    <w:p w14:paraId="00100044" w14:textId="00100045">
      <w:pPr>
        <w:pStyle w:val="Normal"/>
        <w:spacing w:after="60"/>
      </w:pPr>
      <w:r>
        <w:rPr>
          <w:sz w:val="22"/>
        </w:rPr>
        <w:t xml:space="preserve">  •  report_generator.py — Assembles final GapReportOutput with priority gaps, recommended actions, limitations.</w:t>
      </w:r>
    </w:p>
    <w:p w14:paraId="00100046" w14:textId="00100047">
      <w:pPr>
        <w:pStyle w:val="Normal"/>
        <w:spacing w:after="60"/>
      </w:pPr>
      <w:r>
        <w:rPr>
          <w:sz w:val="22"/>
        </w:rPr>
        <w:t xml:space="preserve">  •  presets.py — 3 pre-packaged dossiers: Vioxx NDA 21-042, BOB-701 Oncology, Phase 1 IND (EXP-101).</w:t>
      </w:r>
    </w:p>
    <w:p w14:paraId="00100048" w14:textId="00100049">
      <w:pPr>
        <w:pStyle w:val="Normal"/>
        <w:spacing w:after="200"/>
      </w:pPr>
      <w:r>
        <w:rPr>
          <w:sz w:val="22"/>
        </w:rPr>
        <w:t xml:space="preserve">  •  pipeline.py — CTDRagCheckerPipeline: 5-step orchestrator (parse → evaluate → score → reason → report).</w:t>
      </w:r>
    </w:p>
    <w:p w14:paraId="0010004A" w14:textId="0010004B">
      <w:pPr>
        <w:pStyle w:val="Heading2"/>
        <w:spacing w:before="160" w:after="80"/>
      </w:pPr>
      <w:r>
        <w:rPr>
          <w:b/>
          <w:sz w:val="26"/>
        </w:rPr>
        <w:t xml:space="preserve">REST API — 17 Endpoints Across 3 Routers</w:t>
      </w:r>
    </w:p>
    <w:p w14:paraId="0010004C" w14:textId="0010004D">
      <w:pPr>
        <w:pStyle w:val="Normal"/>
        <w:spacing w:after="120"/>
      </w:pPr>
      <w:r>
        <w:rPr>
          <w:b/>
          <w:color w:val="1A7F37"/>
          <w:sz w:val="22"/>
        </w:rPr>
        <w:t xml:space="preserve">Status: Fully Implemented</w:t>
      </w:r>
    </w:p>
    <w:p w14:paraId="0010004E" w14:textId="0010004F">
      <w:pPr>
        <w:pStyle w:val="Normal"/>
        <w:spacing w:after="40"/>
      </w:pPr>
      <w:r>
        <w:rPr>
          <w:sz w:val="20"/>
        </w:rPr>
        <w:t xml:space="preserve">  GET    /api/v1/health                        Health check for all subsystems</w:t>
      </w:r>
    </w:p>
    <w:p w14:paraId="00100050" w14:textId="00100051">
      <w:pPr>
        <w:pStyle w:val="Normal"/>
        <w:spacing w:after="40"/>
      </w:pPr>
      <w:r>
        <w:rPr>
          <w:sz w:val="20"/>
        </w:rPr>
        <w:t xml:space="preserve">  GET    /api/v1/signals/                       List all PRR results (drug/status filters)</w:t>
      </w:r>
    </w:p>
    <w:p w14:paraId="00100052" w14:textId="00100053">
      <w:pPr>
        <w:pStyle w:val="Normal"/>
        <w:spacing w:after="40"/>
      </w:pPr>
      <w:r>
        <w:rPr>
          <w:sz w:val="20"/>
        </w:rPr>
        <w:t xml:space="preserve">  GET    /api/v1/signals/summary                Total pairs, confirmed signal count, top 10 signals</w:t>
      </w:r>
    </w:p>
    <w:p w14:paraId="00100054" w14:textId="00100055">
      <w:pPr>
        <w:pStyle w:val="Normal"/>
        <w:spacing w:after="40"/>
      </w:pPr>
      <w:r>
        <w:rPr>
          <w:sz w:val="20"/>
        </w:rPr>
        <w:t xml:space="preserve">  GET    /api/v1/signals/drugs                  List available drugs in dataset</w:t>
      </w:r>
    </w:p>
    <w:p w14:paraId="00100056" w14:textId="00100057">
      <w:pPr>
        <w:pStyle w:val="Normal"/>
        <w:spacing w:after="40"/>
      </w:pPr>
      <w:r>
        <w:rPr>
          <w:sz w:val="20"/>
        </w:rPr>
        <w:t xml:space="preserve">  POST   /api/v1/signals/calculate              Custom 2x2 PRR calculator (a,b,c,d) or margin inputs</w:t>
      </w:r>
    </w:p>
    <w:p w14:paraId="00100058" w14:textId="00100059">
      <w:pPr>
        <w:pStyle w:val="Normal"/>
        <w:spacing w:after="40"/>
      </w:pPr>
      <w:r>
        <w:rPr>
          <w:sz w:val="20"/>
        </w:rPr>
        <w:t xml:space="preserve">  GET    /api/v1/signals/trajectory/{drug}/{event}  Monthly PRR time-series for a drug-event pair</w:t>
      </w:r>
    </w:p>
    <w:p w14:paraId="0010005A" w14:textId="0010005B">
      <w:pPr>
        <w:pStyle w:val="Normal"/>
        <w:spacing w:after="40"/>
      </w:pPr>
      <w:r>
        <w:rPr>
          <w:sz w:val="20"/>
        </w:rPr>
        <w:t xml:space="preserve">  GET    /api/v1/signals/vioxx-backtest          Vioxx-specific backtest endpoint</w:t>
      </w:r>
    </w:p>
    <w:p w14:paraId="0010005C" w14:textId="0010005D">
      <w:pPr>
        <w:pStyle w:val="Normal"/>
        <w:spacing w:after="40"/>
      </w:pPr>
      <w:r>
        <w:rPr>
          <w:sz w:val="20"/>
        </w:rPr>
        <w:t xml:space="preserve">  GET    /api/v1/signals/backtest/{drug}         Generic backtest for VIOXX / BAYCOL / AVANDIA</w:t>
      </w:r>
    </w:p>
    <w:p w14:paraId="0010005E" w14:textId="0010005F">
      <w:pPr>
        <w:pStyle w:val="Normal"/>
        <w:spacing w:after="40"/>
      </w:pPr>
      <w:r>
        <w:rPr>
          <w:sz w:val="20"/>
        </w:rPr>
        <w:t xml:space="preserve">  POST   /api/v1/m4/check                       Evaluate structured JSON dossier outline</w:t>
      </w:r>
    </w:p>
    <w:p w14:paraId="00100060" w14:textId="00100061">
      <w:pPr>
        <w:pStyle w:val="Normal"/>
        <w:spacing w:after="40"/>
      </w:pPr>
      <w:r>
        <w:rPr>
          <w:sz w:val="20"/>
        </w:rPr>
        <w:t xml:space="preserve">  POST   /api/v1/m4/quick-check-text            Evaluate raw plain-text dossier outline</w:t>
      </w:r>
    </w:p>
    <w:p w14:paraId="00100062" w14:textId="00100063">
      <w:pPr>
        <w:pStyle w:val="Normal"/>
        <w:spacing w:after="40"/>
      </w:pPr>
      <w:r>
        <w:rPr>
          <w:sz w:val="20"/>
        </w:rPr>
        <w:t xml:space="preserve">  POST   /api/v1/m4/check-pdf                   Upload and evaluate a PDF dossier</w:t>
      </w:r>
    </w:p>
    <w:p w14:paraId="00100064" w14:textId="00100065">
      <w:pPr>
        <w:pStyle w:val="Normal"/>
        <w:spacing w:after="40"/>
      </w:pPr>
      <w:r>
        <w:rPr>
          <w:sz w:val="20"/>
        </w:rPr>
        <w:t xml:space="preserve">  GET    /api/v1/m4/presets                     List all pre-packaged dossiers</w:t>
      </w:r>
    </w:p>
    <w:p w14:paraId="00100066" w14:textId="00100067">
      <w:pPr>
        <w:pStyle w:val="Normal"/>
        <w:spacing w:after="40"/>
      </w:pPr>
      <w:r>
        <w:rPr>
          <w:sz w:val="20"/>
        </w:rPr>
        <w:t xml:space="preserve">  GET    /api/v1/m4/presets/{key}               Get specific preset</w:t>
      </w:r>
    </w:p>
    <w:p w14:paraId="00100068" w14:textId="00100069">
      <w:pPr>
        <w:pStyle w:val="Normal"/>
        <w:spacing w:after="40"/>
      </w:pPr>
      <w:r>
        <w:rPr>
          <w:sz w:val="20"/>
        </w:rPr>
        <w:t xml:space="preserve">  GET    /api/v1/m4/requirements                Full ICH M4 knowledge base</w:t>
      </w:r>
    </w:p>
    <w:p w14:paraId="0010006A" w14:textId="0010006B">
      <w:pPr>
        <w:pStyle w:val="Normal"/>
        <w:spacing w:after="40"/>
      </w:pPr>
      <w:r>
        <w:rPr>
          <w:sz w:val="20"/>
        </w:rPr>
        <w:t xml:space="preserve">  GET    /api/v1/m4/module/{id}                 ICH requirements for a specific module (1–5)</w:t>
      </w:r>
    </w:p>
    <w:p w14:paraId="0010006C" w14:textId="0010006D">
      <w:pPr>
        <w:pStyle w:val="Normal"/>
        <w:spacing w:after="40"/>
      </w:pPr>
      <w:r>
        <w:rPr>
          <w:sz w:val="20"/>
        </w:rPr>
        <w:t xml:space="preserve">  POST   /api/v1/copilot/query                  Ask IBM Bob (Gemini or deterministic fallback)</w:t>
      </w:r>
    </w:p>
    <w:p w14:paraId="0010006E" w14:textId="0010006F">
      <w:pPr>
        <w:pStyle w:val="Normal"/>
        <w:spacing w:after="200"/>
      </w:pPr>
      <w:r>
        <w:rPr>
          <w:sz w:val="20"/>
        </w:rPr>
        <w:t xml:space="preserve">  GET    /api/v1/copilot/suggestions             Curated starter prompts</w:t>
      </w:r>
    </w:p>
    <w:p w14:paraId="00100070" w14:textId="00100071">
      <w:pPr>
        <w:pStyle w:val="Heading2"/>
        <w:spacing w:before="160" w:after="80"/>
      </w:pPr>
      <w:r>
        <w:rPr>
          <w:b/>
          <w:sz w:val="26"/>
        </w:rPr>
        <w:t xml:space="preserve">IBM Bob AI Copilot — Backend</w:t>
      </w:r>
    </w:p>
    <w:p w14:paraId="00100072" w14:textId="00100073">
      <w:pPr>
        <w:pStyle w:val="Normal"/>
        <w:spacing w:after="80"/>
      </w:pPr>
      <w:r>
        <w:rPr>
          <w:b/>
          <w:color w:val="1A7F37"/>
          <w:sz w:val="22"/>
        </w:rPr>
        <w:t xml:space="preserve">Status: Fully Implemented with Dual-Engine Design</w:t>
      </w:r>
    </w:p>
    <w:p w14:paraId="00100074" w14:textId="00100075">
      <w:pPr>
        <w:pStyle w:val="Normal"/>
        <w:spacing w:after="240"/>
      </w:pPr>
      <w:r>
        <w:rPr>
          <w:sz w:val="22"/>
        </w:rPr>
        <w:t xml:space="preserve">Builds domain-specific context from live backtest data, PRR stats, and ICH knowledge base. Primary engine calls Gemini 2.5 Flash API via httpx when GEMINI_API_KEY is present. Fallback is a deterministic expert rule-based engine covering Vioxx, Avandia, Baycol, PRR formula, ICH Modules 3/4/5, gap scoring — zero hallucinations guaranteed offline.</w:t>
      </w:r>
    </w:p>
    <w:p w14:paraId="00100076" w14:textId="00100077">
      <w:pPr>
        <w:pStyle w:val="Heading1"/>
        <w:spacing w:before="240" w:after="120"/>
      </w:pPr>
      <w:r>
        <w:rPr>
          <w:b/>
          <w:sz w:val="32"/>
        </w:rPr>
        <w:t xml:space="preserve">Frontend — Next.js 14 + TypeScript + Tailwind + Recharts (src/frontend/)</w:t>
      </w:r>
    </w:p>
    <w:p w14:paraId="00100078" w14:textId="00100079">
      <w:pPr>
        <w:pStyle w:val="Normal"/>
        <w:spacing w:after="120"/>
      </w:pPr>
      <w:r>
        <w:rPr>
          <w:b/>
          <w:color w:val="1A7F37"/>
          <w:sz w:val="22"/>
        </w:rPr>
        <w:t xml:space="preserve">Status: Fully Implemented</w:t>
      </w:r>
    </w:p>
    <w:p w14:paraId="0010007A" w14:textId="0010007B">
      <w:pPr>
        <w:pStyle w:val="Normal"/>
        <w:spacing w:after="80"/>
      </w:pPr>
      <w:r>
        <w:rPr>
          <w:sz w:val="22"/>
        </w:rPr>
        <w:t xml:space="preserve">The entire UI lives in one large page component (page.tsx, ~1,864 lines) with 6 distinct views:</w:t>
      </w:r>
    </w:p>
    <w:p w14:paraId="0010007C" w14:textId="0010007D">
      <w:pPr>
        <w:pStyle w:val="Normal"/>
        <w:spacing w:after="80"/>
      </w:pPr>
      <w:r>
        <w:rPr>
          <w:sz w:val="22"/>
        </w:rPr>
        <w:t xml:space="preserve">1.  Dashboard — Metric cards (total signals, confirmed signals), Adverse Event Bubble Chart (PRR vs case count, colored by signal status using Recharts ScatterChart + ZAxis).</w:t>
      </w:r>
    </w:p>
    <w:p w14:paraId="0010007E" w14:textId="0010007F">
      <w:pPr>
        <w:pStyle w:val="Normal"/>
        <w:spacing w:after="80"/>
      </w:pPr>
      <w:r>
        <w:rPr>
          <w:sz w:val="22"/>
        </w:rPr>
        <w:t xml:space="preserve">2.  Signal Detection — Full PRR signals table with filter/sort, Interactive 2x2 Contingency Table Calculator with 4 preset buttons (Vioxx MI, Baycol Rhabdo, Avandia Heart Failure, Ibuprofen non-signal), custom drug/event input, real-time result display.</w:t>
      </w:r>
    </w:p>
    <w:p w14:paraId="00100080" w14:textId="00100081">
      <w:pPr>
        <w:pStyle w:val="Normal"/>
        <w:spacing w:after="80"/>
      </w:pPr>
      <w:r>
        <w:rPr>
          <w:sz w:val="22"/>
        </w:rPr>
        <w:t xml:space="preserve">3.  Historical Analysis — Drug selector (VIOXX / BAYCOL / AVANDIA), PRR time-series LineChart with signal threshold reference line, lead time badge, clinical summary, verdict display.</w:t>
      </w:r>
    </w:p>
    <w:p w14:paraId="00100082" w14:textId="00100083">
      <w:pPr>
        <w:pStyle w:val="Normal"/>
        <w:spacing w:after="80"/>
      </w:pPr>
      <w:r>
        <w:rPr>
          <w:sz w:val="22"/>
        </w:rPr>
        <w:t xml:space="preserve">4.  Submission Readiness — Preset dossier selector + raw text textarea + PDF file upload, module progress bars (Modules 1–5), overall readiness percentage, Priority Regulatory Gap Matrix with CRITICAL/MAJOR/STANDARD filter.</w:t>
      </w:r>
    </w:p>
    <w:p w14:paraId="00100084" w14:textId="00100085">
      <w:pPr>
        <w:pStyle w:val="Normal"/>
        <w:spacing w:after="80"/>
      </w:pPr>
      <w:r>
        <w:rPr>
          <w:sz w:val="22"/>
        </w:rPr>
        <w:t xml:space="preserve">5.  Reports — Download JSON export of FAERS signal data (M1/M2), navigation links to Backtest and Readiness workspaces.</w:t>
      </w:r>
    </w:p>
    <w:p w14:paraId="00100086" w14:textId="00100087">
      <w:pPr>
        <w:pStyle w:val="Normal"/>
        <w:spacing w:after="160"/>
      </w:pPr>
      <w:r>
        <w:rPr>
          <w:sz w:val="22"/>
        </w:rPr>
        <w:t xml:space="preserve">6.  About — Platform architecture overview.</w:t>
      </w:r>
    </w:p>
    <w:p w14:paraId="00100088" w14:textId="00100089">
      <w:pPr>
        <w:pStyle w:val="Normal"/>
        <w:spacing w:after="80"/>
      </w:pPr>
      <w:r>
        <w:rPr>
          <w:b/>
          <w:sz w:val="22"/>
        </w:rPr>
        <w:t xml:space="preserve">Reusable Shared Components:</w:t>
      </w:r>
    </w:p>
    <w:p w14:paraId="0010008A" w14:textId="0010008B">
      <w:pPr>
        <w:pStyle w:val="Normal"/>
        <w:spacing w:after="60"/>
      </w:pPr>
      <w:r>
        <w:rPr>
          <w:sz w:val="22"/>
        </w:rPr>
        <w:t xml:space="preserve">  •  Sidebar.tsx — Collapsible left navigation.</w:t>
      </w:r>
    </w:p>
    <w:p w14:paraId="0010008C" w14:textId="0010008D">
      <w:pPr>
        <w:pStyle w:val="Normal"/>
        <w:spacing w:after="60"/>
      </w:pPr>
      <w:r>
        <w:rPr>
          <w:sz w:val="22"/>
        </w:rPr>
        <w:t xml:space="preserve">  •  Header.tsx — Top bar with backend status indicator and Bob Copilot toggle.</w:t>
      </w:r>
    </w:p>
    <w:p w14:paraId="0010008E" w14:textId="0010008F">
      <w:pPr>
        <w:pStyle w:val="Normal"/>
        <w:spacing w:after="60"/>
      </w:pPr>
      <w:r>
        <w:rPr>
          <w:sz w:val="22"/>
        </w:rPr>
        <w:t xml:space="preserve">  •  BobCopilotDrawer.tsx — Slide-in right drawer with chat history, markdown rendering, follow-up chips, quick suggestion chips.</w:t>
      </w:r>
    </w:p>
    <w:p w14:paraId="00100090" w14:textId="00100091">
      <w:pPr>
        <w:pStyle w:val="Normal"/>
        <w:spacing w:after="240"/>
      </w:pPr>
      <w:r>
        <w:rPr>
          <w:sz w:val="22"/>
        </w:rPr>
        <w:t xml:space="preserve">  •  MetricCard.tsx, StatusBadge.tsx, PageHeader.tsx, LoadingState.tsx, ErrorState.tsx, EmptyState.tsx — Shared UI primitives.</w:t>
      </w:r>
    </w:p>
    <w:p w14:paraId="00100092" w14:textId="00100093">
      <w:pPr>
        <w:pStyle w:val="Heading1"/>
        <w:spacing w:before="240" w:after="120"/>
      </w:pPr>
      <w:r>
        <w:rPr>
          <w:b/>
          <w:sz w:val="32"/>
        </w:rPr>
        <w:t xml:space="preserve">Test Suite — src/backend/tests/ (Pytest)</w:t>
      </w:r>
    </w:p>
    <w:p w14:paraId="00100094" w14:textId="00100095">
      <w:pPr>
        <w:pStyle w:val="Normal"/>
        <w:spacing w:after="120"/>
      </w:pPr>
      <w:r>
        <w:rPr>
          <w:b/>
          <w:color w:val="1A7F37"/>
          <w:sz w:val="22"/>
        </w:rPr>
        <w:t xml:space="preserve">Status: 114 Automated Tests Across 16 Test Files</w:t>
      </w:r>
    </w:p>
    <w:p w14:paraId="00100096" w14:textId="00100097">
      <w:pPr>
        <w:pStyle w:val="Normal"/>
        <w:spacing w:after="60"/>
      </w:pPr>
      <w:r>
        <w:rPr>
          <w:sz w:val="22"/>
        </w:rPr>
        <w:t xml:space="preserve">  •  test_health.py — Backend health endpoints.</w:t>
      </w:r>
    </w:p>
    <w:p w14:paraId="00100098" w14:textId="00100099">
      <w:pPr>
        <w:pStyle w:val="Normal"/>
        <w:spacing w:after="60"/>
      </w:pPr>
      <w:r>
        <w:rPr>
          <w:sz w:val="22"/>
        </w:rPr>
        <w:t xml:space="preserve">  •  test_m1_faers.py — FAERS ingest, normalization, contingency table building.</w:t>
      </w:r>
    </w:p>
    <w:p w14:paraId="0010009A" w14:textId="0010009B">
      <w:pPr>
        <w:pStyle w:val="Normal"/>
        <w:spacing w:after="60"/>
      </w:pPr>
      <w:r>
        <w:rPr>
          <w:sz w:val="22"/>
        </w:rPr>
        <w:t xml:space="preserve">  •  test_m2_prr.py — PRR calculation, chi-square, signal classification.</w:t>
      </w:r>
    </w:p>
    <w:p w14:paraId="0010009C" w14:textId="0010009D">
      <w:pPr>
        <w:pStyle w:val="Normal"/>
        <w:spacing w:after="60"/>
      </w:pPr>
      <w:r>
        <w:rPr>
          <w:sz w:val="22"/>
        </w:rPr>
        <w:t xml:space="preserve">  •  test_m3_trajectory.py — Trajectory loading, backtest verdicts.</w:t>
      </w:r>
    </w:p>
    <w:p w14:paraId="0010009E" w14:textId="0010009F">
      <w:pPr>
        <w:pStyle w:val="Normal"/>
        <w:spacing w:after="60"/>
      </w:pPr>
      <w:r>
        <w:rPr>
          <w:sz w:val="22"/>
        </w:rPr>
        <w:t xml:space="preserve">  •  test_m4_*.py (12 files) — Schema, knowledge loader, retriever, gap checker, completeness, dossier parser, PDF extractor, pipeline, report generator, Gemini reasoner, API endpoints, deep QA.</w:t>
      </w:r>
    </w:p>
    <w:p w14:paraId="001000A0" w14:textId="001000A1">
      <w:pPr>
        <w:pStyle w:val="Normal"/>
        <w:spacing w:after="240"/>
      </w:pPr>
      <w:r>
        <w:rPr>
          <w:sz w:val="22"/>
        </w:rPr>
        <w:t xml:space="preserve">  •  test_copilot_and_custom_calc.py — Copilot queries and custom PRR endpoint.</w:t>
      </w:r>
    </w:p>
    <w:p w14:paraId="001000A2" w14:textId="001000A3">
      <w:pPr>
        <w:pStyle w:val="Heading1"/>
        <w:spacing w:before="240" w:after="120"/>
      </w:pPr>
      <w:r>
        <w:rPr>
          <w:b/>
          <w:sz w:val="32"/>
        </w:rPr>
        <w:t xml:space="preserve">Data Artifacts — src/backend/app/data/</w:t>
      </w:r>
    </w:p>
    <w:p w14:paraId="001000A4" w14:textId="001000A5">
      <w:pPr>
        <w:pStyle w:val="Normal"/>
        <w:spacing w:after="60"/>
      </w:pPr>
      <w:r>
        <w:rPr>
          <w:sz w:val="22"/>
        </w:rPr>
        <w:t xml:space="preserve">  •  merged_clean.csv — Real openFDA FAERS master adverse event dataset.</w:t>
      </w:r>
    </w:p>
    <w:p w14:paraId="001000A6" w14:textId="001000A7">
      <w:pPr>
        <w:pStyle w:val="Normal"/>
        <w:spacing w:after="60"/>
      </w:pPr>
      <w:r>
        <w:rPr>
          <w:sz w:val="22"/>
        </w:rPr>
        <w:t xml:space="preserve">  •  m2_signals/VIOXX_signals.csv, BAYCOL_signals.csv, AVANDIA_signals.csv — Pre-computed 2x2 contingency cells per drug.</w:t>
      </w:r>
    </w:p>
    <w:p w14:paraId="001000A8" w14:textId="001000A9">
      <w:pPr>
        <w:pStyle w:val="Normal"/>
        <w:spacing w:after="60"/>
      </w:pPr>
      <w:r>
        <w:rPr>
          <w:sz w:val="22"/>
        </w:rPr>
        <w:t xml:space="preserve">  •  m2_signals/all_signals_ranked.csv — All signals ranked by PRR.</w:t>
      </w:r>
    </w:p>
    <w:p w14:paraId="001000AA" w14:textId="001000AB">
      <w:pPr>
        <w:pStyle w:val="Normal"/>
        <w:spacing w:after="60"/>
      </w:pPr>
      <w:r>
        <w:rPr>
          <w:sz w:val="22"/>
        </w:rPr>
        <w:t xml:space="preserve">  •  m3_digital_twin/VIOXX_trajectory.csv, BAYCOL_trajectory.csv, AVANDIA_trajectory.csv — Monthly PRR walk-forward time series.</w:t>
      </w:r>
    </w:p>
    <w:p w14:paraId="001000AC" w14:textId="001000AD">
      <w:pPr>
        <w:pStyle w:val="Normal"/>
        <w:spacing w:after="60"/>
      </w:pPr>
      <w:r>
        <w:rPr>
          <w:sz w:val="22"/>
        </w:rPr>
        <w:t xml:space="preserve">  •  m3_digital_twin/backtest_summary.csv — Detection dates, lead times, and verdicts per drug.</w:t>
      </w:r>
    </w:p>
    <w:p w14:paraId="001000AE" w14:textId="001000AF">
      <w:pPr>
        <w:pStyle w:val="Normal"/>
        <w:spacing w:after="60"/>
      </w:pPr>
      <w:r>
        <w:rPr>
          <w:sz w:val="22"/>
        </w:rPr>
        <w:t xml:space="preserve">  •  m3_digital_twin/trajectory_plots/ — Pre-rendered PNG trajectory charts.</w:t>
      </w:r>
    </w:p>
    <w:p w14:paraId="001000B0" w14:textId="001000B1">
      <w:pPr>
        <w:pStyle w:val="Normal"/>
        <w:spacing w:after="240"/>
      </w:pPr>
      <w:r>
        <w:rPr>
          <w:sz w:val="22"/>
        </w:rPr>
        <w:t xml:space="preserve">  •  m4_rag/knowledge/ich_m4_sections.json — Full ICH M4 Modules 1–5 section requirements.</w:t>
      </w:r>
    </w:p>
    <w:p w14:paraId="001000B2" w14:textId="001000B3">
      <w:pPr>
        <w:pStyle w:val="Heading1"/>
        <w:spacing w:before="240" w:after="120"/>
      </w:pPr>
      <w:r>
        <w:rPr>
          <w:b/>
          <w:sz w:val="32"/>
        </w:rPr>
        <w:t xml:space="preserve">Technology Stack</w:t>
      </w:r>
    </w:p>
    <w:p w14:paraId="001000B4" w14:textId="001000B5">
      <w:pPr>
        <w:pStyle w:val="Normal"/>
        <w:spacing w:after="60"/>
      </w:pPr>
      <w:r>
        <w:rPr>
          <w:sz w:val="22"/>
        </w:rPr>
        <w:t xml:space="preserve">  •  Frontend: Next.js 14 (App Router), React 18, TypeScript, Tailwind CSS, Recharts</w:t>
      </w:r>
    </w:p>
    <w:p w14:paraId="001000B6" w14:textId="001000B7">
      <w:pPr>
        <w:pStyle w:val="Normal"/>
        <w:spacing w:after="60"/>
      </w:pPr>
      <w:r>
        <w:rPr>
          <w:sz w:val="22"/>
        </w:rPr>
        <w:t xml:space="preserve">  •  Backend API: Python 3.10+, FastAPI, Uvicorn, Pydantic v2</w:t>
      </w:r>
    </w:p>
    <w:p w14:paraId="001000B8" w14:textId="001000B9">
      <w:pPr>
        <w:pStyle w:val="Normal"/>
        <w:spacing w:after="60"/>
      </w:pPr>
      <w:r>
        <w:rPr>
          <w:sz w:val="22"/>
        </w:rPr>
        <w:t xml:space="preserve">  •  Statistical Engine: NumPy, SciPy, Pandas</w:t>
      </w:r>
    </w:p>
    <w:p w14:paraId="001000BA" w14:textId="001000BB">
      <w:pPr>
        <w:pStyle w:val="Normal"/>
        <w:spacing w:after="60"/>
      </w:pPr>
      <w:r>
        <w:rPr>
          <w:sz w:val="22"/>
        </w:rPr>
        <w:t xml:space="preserve">  •  RAG &amp; Knowledge Base: In-Memory Retrieval Index (ICH M4 guideline retrieval)</w:t>
      </w:r>
    </w:p>
    <w:p w14:paraId="001000BC" w14:textId="001000BD">
      <w:pPr>
        <w:pStyle w:val="Normal"/>
        <w:spacing w:after="60"/>
      </w:pPr>
      <w:r>
        <w:rPr>
          <w:sz w:val="22"/>
        </w:rPr>
        <w:t xml:space="preserve">  •  AI Copilot: IBM Bob / Google Gemini 2.5 Flash / watsonx.ai (configured)</w:t>
      </w:r>
    </w:p>
    <w:p w14:paraId="001000BE" w14:textId="001000BF">
      <w:pPr>
        <w:pStyle w:val="Normal"/>
        <w:spacing w:after="60"/>
      </w:pPr>
      <w:r>
        <w:rPr>
          <w:sz w:val="22"/>
        </w:rPr>
        <w:t xml:space="preserve">  •  PDF Processing: pdfplumber, pypdfium2</w:t>
      </w:r>
    </w:p>
    <w:p w14:paraId="001000C0" w14:textId="001000C1">
      <w:pPr>
        <w:pStyle w:val="Normal"/>
        <w:spacing w:after="60"/>
      </w:pPr>
      <w:r>
        <w:rPr>
          <w:sz w:val="22"/>
        </w:rPr>
        <w:t xml:space="preserve">  •  DevOps: Concurrently, Pytest (114 tests), Node.js</w:t>
      </w:r>
    </w:p>
    <w:p w14:paraId="001000C2" w14:textId="001000C3">
      <w:pPr>
        <w:pStyle w:val="Normal"/>
        <w:spacing w:after="240"/>
      </w:pPr>
      <w:r>
        <w:rPr>
          <w:sz w:val="22"/>
        </w:rPr>
        <w:t xml:space="preserve">  •  CI/CD: GitHub Actions (.github/workflows/validate.yml)</w:t>
      </w:r>
    </w:p>
    <w:p w14:paraId="001000C4" w14:textId="001000C5">
      <w:pPr>
        <w:pStyle w:val="Heading1"/>
        <w:spacing w:before="240" w:after="120"/>
      </w:pPr>
      <w:r>
        <w:rPr>
          <w:b/>
          <w:sz w:val="32"/>
        </w:rPr>
        <w:t xml:space="preserve">Known Gaps / Not Yet Done</w:t>
      </w:r>
    </w:p>
    <w:p w14:paraId="001000C6" w14:textId="001000C7">
      <w:pPr>
        <w:pStyle w:val="Normal"/>
        <w:spacing w:after="80"/>
      </w:pPr>
      <w:r>
        <w:rPr>
          <w:sz w:val="22"/>
        </w:rPr>
        <w:t xml:space="preserve">1.  Adverse Event Clustering — Explicitly noted as disabled in README; labeled 'in development' rather than showing fabricated groupings.</w:t>
      </w:r>
    </w:p>
    <w:p w14:paraId="001000C8" w14:textId="001000C9">
      <w:pPr>
        <w:pStyle w:val="Normal"/>
        <w:spacing w:after="80"/>
      </w:pPr>
      <w:r>
        <w:rPr>
          <w:sz w:val="22"/>
        </w:rPr>
        <w:t xml:space="preserve">2.  Demo video link — demo/demo-video-link.txt is a placeholder; no actual video recorded yet.</w:t>
      </w:r>
    </w:p>
    <w:p w14:paraId="001000CA" w14:textId="001000CB">
      <w:pPr>
        <w:pStyle w:val="Normal"/>
        <w:spacing w:after="80"/>
      </w:pPr>
      <w:r>
        <w:rPr>
          <w:sz w:val="22"/>
        </w:rPr>
        <w:t xml:space="preserve">3.  Live deployment URL — demo/live-demo-url.txt is a placeholder; the app is not deployed to any cloud host.</w:t>
      </w:r>
    </w:p>
    <w:p w14:paraId="001000CC" w14:textId="001000CD">
      <w:pPr>
        <w:pStyle w:val="Normal"/>
        <w:spacing w:after="80"/>
      </w:pPr>
      <w:r>
        <w:rPr>
          <w:sz w:val="22"/>
        </w:rPr>
        <w:t xml:space="preserve">4.  Unused dependencies — psycopg2-binary and SQLAlchemy are listed in requirements.txt but no database models or ORM usage exists in the codebase; all data processing is in-memory.</w:t>
      </w:r>
    </w:p>
    <w:p w14:paraId="001000CE" w14:textId="001000CF">
      <w:pPr>
        <w:pStyle w:val="Normal"/>
        <w:spacing w:after="320"/>
      </w:pPr>
      <w:r>
        <w:rPr>
          <w:sz w:val="22"/>
        </w:rPr>
        <w:t xml:space="preserve">5.  watsonx.ai integration — WATSONX_API_KEY and WATSONX_PROJECT_ID env vars are defined and documented, but no watsonx API call exists in any backend file; only Gemini 2.5 Flash is wired up as the live LLM path.</w:t>
      </w:r>
    </w:p>
    <w:p w14:paraId="001000D0" w14:textId="001000D1">
      <w:pPr>
        <w:pStyle w:val="Normal"/>
        <w:spacing w:after="80"/>
        <w:jc w:val="center"/>
      </w:pPr>
      <w:r>
        <w:rPr>
          <w:color w:val="57606A"/>
          <w:sz w:val="18"/>
        </w:rPr>
        <w:t xml:space="preserve">PharmSignals — IBM Bobathon 2026 | Team Demon Slayer | Report generated by IBM Bob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201e59fc5a8417c" /><Relationship Type="http://schemas.openxmlformats.org/officeDocument/2006/relationships/styles" Target="/word/styles.xml" Id="R39e0ccd70ac747de" /><Relationship Type="http://schemas.openxmlformats.org/officeDocument/2006/relationships/theme" Target="/word/theme/theme1.xml" Id="Rb872ee531920498d" /><Relationship Type="http://schemas.openxmlformats.org/officeDocument/2006/relationships/numbering" Target="/word/numbering.xml" Id="R0ccbc686b4d944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2026-09-15T05:45:49Z</dcterms:created>
  <cp:lastModifiedBy>OfficeCLI</cp:lastModifiedBy>
  <dcterms:modified xsi:type="dcterms:W3CDTF">2026-09-15T05:45:49Z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1.0.150</vt:lpwstr>
  </op:property>
  <op:property fmtid="{D5CDD505-2E9C-101B-9397-08002B2CF9AE}" pid="3" name="OfficeCLI.LastModified">
    <vt:lpwstr xmlns:vt="http://schemas.openxmlformats.org/officeDocument/2006/docPropsVTypes">2026-09-15T05:49:11Z</vt:lpwstr>
  </op:property>
</op:Properties>
</file>