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4F4F0" w14:textId="6020ECAA" w:rsidR="00750464" w:rsidRDefault="00750464" w:rsidP="00490806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Tennet</w:t>
      </w:r>
      <w:proofErr w:type="spellEnd"/>
      <w:r>
        <w:rPr>
          <w:b/>
          <w:bCs/>
          <w:lang w:val="en-US"/>
        </w:rPr>
        <w:t xml:space="preserve"> API key, </w:t>
      </w:r>
      <w:r w:rsidRPr="00750464">
        <w:rPr>
          <w:b/>
          <w:bCs/>
          <w:lang w:val="en-US"/>
        </w:rPr>
        <w:t>085bf0ad-a062-4f84-ad4b-d265ee5a6e98</w:t>
      </w:r>
    </w:p>
    <w:p w14:paraId="0C27D132" w14:textId="77777777" w:rsidR="00750464" w:rsidRDefault="00750464" w:rsidP="00490806">
      <w:pPr>
        <w:rPr>
          <w:b/>
          <w:bCs/>
          <w:lang w:val="en-US"/>
        </w:rPr>
      </w:pPr>
    </w:p>
    <w:p w14:paraId="252BF74F" w14:textId="71956A9C" w:rsidR="00490806" w:rsidRPr="00490806" w:rsidRDefault="00490806" w:rsidP="00490806">
      <w:pPr>
        <w:rPr>
          <w:b/>
          <w:bCs/>
        </w:rPr>
      </w:pPr>
      <w:r w:rsidRPr="00490806">
        <w:rPr>
          <w:b/>
          <w:bCs/>
        </w:rPr>
        <w:t>1. Eliminate "Perfect Foresight" (Machine Learning Integration)</w:t>
      </w:r>
    </w:p>
    <w:p w14:paraId="22BB57C2" w14:textId="77777777" w:rsidR="00490806" w:rsidRPr="00490806" w:rsidRDefault="00490806" w:rsidP="00490806">
      <w:r w:rsidRPr="00490806">
        <w:t>Currently, the PyPSA quant_engine.py looks at the whole year of day_ahead_prices at once. It knows exactly what the price will be at 4:00 PM on December 31st before the year even begins. This is called "perfect foresight" and overstates real-world profits.</w:t>
      </w:r>
    </w:p>
    <w:p w14:paraId="082280F3" w14:textId="77777777" w:rsidR="00490806" w:rsidRPr="00490806" w:rsidRDefault="00490806" w:rsidP="00490806">
      <w:pPr>
        <w:numPr>
          <w:ilvl w:val="0"/>
          <w:numId w:val="1"/>
        </w:numPr>
      </w:pPr>
      <w:r w:rsidRPr="00490806">
        <w:rPr>
          <w:b/>
          <w:bCs/>
        </w:rPr>
        <w:t>The Upgrade:</w:t>
      </w:r>
      <w:r w:rsidRPr="00490806">
        <w:t xml:space="preserve"> Build a predictive ML model (e.g., XGBoost, LSTM, or LightGBM) that predicts prices 24–48 hours ahead based on weather, wind/solar generation forecasts, and gas prices. Feed the </w:t>
      </w:r>
      <w:r w:rsidRPr="00490806">
        <w:rPr>
          <w:i/>
          <w:iCs/>
        </w:rPr>
        <w:t>forecasted</w:t>
      </w:r>
      <w:r w:rsidRPr="00490806">
        <w:t xml:space="preserve"> prices to the optimizer, but evaluate the financials against the </w:t>
      </w:r>
      <w:r w:rsidRPr="00490806">
        <w:rPr>
          <w:i/>
          <w:iCs/>
        </w:rPr>
        <w:t>actual</w:t>
      </w:r>
      <w:r w:rsidRPr="00490806">
        <w:t xml:space="preserve"> historical prices.</w:t>
      </w:r>
    </w:p>
    <w:p w14:paraId="2EB9AB17" w14:textId="77777777" w:rsidR="00490806" w:rsidRPr="00490806" w:rsidRDefault="00490806" w:rsidP="00490806">
      <w:pPr>
        <w:rPr>
          <w:b/>
          <w:bCs/>
        </w:rPr>
      </w:pPr>
      <w:r w:rsidRPr="00490806">
        <w:rPr>
          <w:b/>
          <w:bCs/>
        </w:rPr>
        <w:t>2. Implement Revenue Stacking (Ancillary Services)</w:t>
      </w:r>
    </w:p>
    <w:p w14:paraId="23E56FC4" w14:textId="77777777" w:rsidR="00490806" w:rsidRPr="00490806" w:rsidRDefault="00490806" w:rsidP="00490806">
      <w:r w:rsidRPr="00490806">
        <w:t>You previously paused the v7.0 Revenue Stacking pivot to focus on testing (which was the right engineering choice!). Now that the system is stable, you can re-open it.</w:t>
      </w:r>
    </w:p>
    <w:p w14:paraId="33FD86F3" w14:textId="77777777" w:rsidR="00490806" w:rsidRPr="00490806" w:rsidRDefault="00490806" w:rsidP="00490806">
      <w:pPr>
        <w:numPr>
          <w:ilvl w:val="0"/>
          <w:numId w:val="2"/>
        </w:numPr>
      </w:pPr>
      <w:r w:rsidRPr="00490806">
        <w:rPr>
          <w:b/>
          <w:bCs/>
        </w:rPr>
        <w:t>The Upgrade:</w:t>
      </w:r>
      <w:r w:rsidRPr="00490806">
        <w:t xml:space="preserve"> Update the PyPSA engine to co-optimize for the Day-Ahead market (energy arbitrage) and the FCR/aFRR markets (capacity reservation). This involves replacing the simple StorageUnit with a more complex topology of Buses, Links, and Stores so the battery can reserve some of its power capacity for grid balancing while trading the rest.</w:t>
      </w:r>
    </w:p>
    <w:p w14:paraId="202EDC77" w14:textId="77777777" w:rsidR="00490806" w:rsidRPr="00490806" w:rsidRDefault="00490806" w:rsidP="00490806">
      <w:pPr>
        <w:rPr>
          <w:b/>
          <w:bCs/>
        </w:rPr>
      </w:pPr>
      <w:r w:rsidRPr="00490806">
        <w:rPr>
          <w:b/>
          <w:bCs/>
        </w:rPr>
        <w:t>3. Containerization and CI/CD (DevOps)</w:t>
      </w:r>
    </w:p>
    <w:p w14:paraId="40CC7FF2" w14:textId="77777777" w:rsidR="00490806" w:rsidRPr="00490806" w:rsidRDefault="00490806" w:rsidP="00490806">
      <w:r w:rsidRPr="00490806">
        <w:t>Now that you have the Master E2E test in the Canvas, you should automate it.</w:t>
      </w:r>
    </w:p>
    <w:p w14:paraId="00554208" w14:textId="77777777" w:rsidR="00490806" w:rsidRPr="00490806" w:rsidRDefault="00490806" w:rsidP="00490806">
      <w:pPr>
        <w:numPr>
          <w:ilvl w:val="0"/>
          <w:numId w:val="3"/>
        </w:numPr>
      </w:pPr>
      <w:r w:rsidRPr="00490806">
        <w:rPr>
          <w:b/>
          <w:bCs/>
        </w:rPr>
        <w:t>The Upgrade:</w:t>
      </w:r>
      <w:r w:rsidRPr="00490806">
        <w:t xml:space="preserve"> Wrap the entire application (Streamlit, Orchestrator, SQLite) in a Docker container. Set up a GitHub Actions workflow so that every time you push new code to your repository, the test_master_e2e.py script automatically runs in the cloud. If the test fails, the code doesn't deploy.</w:t>
      </w:r>
    </w:p>
    <w:p w14:paraId="61D2DB96" w14:textId="77777777" w:rsidR="00490806" w:rsidRPr="00490806" w:rsidRDefault="00490806" w:rsidP="00490806">
      <w:pPr>
        <w:rPr>
          <w:b/>
          <w:bCs/>
        </w:rPr>
      </w:pPr>
      <w:r w:rsidRPr="00490806">
        <w:rPr>
          <w:b/>
          <w:bCs/>
        </w:rPr>
        <w:t>4. Advanced Non-Linear Degradation</w:t>
      </w:r>
    </w:p>
    <w:p w14:paraId="713EE98D" w14:textId="77777777" w:rsidR="00490806" w:rsidRPr="00490806" w:rsidRDefault="00490806" w:rsidP="00490806">
      <w:r w:rsidRPr="00490806">
        <w:t>As discussed earlier, the current degradation proxy is a linear calculation based on Equivalent Full Cycles (EFC).</w:t>
      </w:r>
    </w:p>
    <w:p w14:paraId="1592A935" w14:textId="77777777" w:rsidR="00490806" w:rsidRPr="00490806" w:rsidRDefault="00490806" w:rsidP="00490806">
      <w:pPr>
        <w:numPr>
          <w:ilvl w:val="0"/>
          <w:numId w:val="4"/>
        </w:numPr>
      </w:pPr>
      <w:r w:rsidRPr="00490806">
        <w:rPr>
          <w:b/>
          <w:bCs/>
        </w:rPr>
        <w:t>The Upgrade:</w:t>
      </w:r>
      <w:r w:rsidRPr="00490806">
        <w:t xml:space="preserve"> Implement true Rainflow-counting in the finance_engine.py that penalizes deep discharges (e.g., 100% DoD) much more severely than shallow micro-cycles (e.g., 20% DoD). You could also introduce Calendar Aging penalties to calculate how the battery degrades just by sitting at a high State of Charge (SOC) over the weekend.</w:t>
      </w:r>
    </w:p>
    <w:p w14:paraId="367207C8" w14:textId="77777777" w:rsidR="00490806" w:rsidRPr="00490806" w:rsidRDefault="00490806" w:rsidP="00490806">
      <w:pPr>
        <w:rPr>
          <w:b/>
          <w:bCs/>
        </w:rPr>
      </w:pPr>
      <w:r w:rsidRPr="00490806">
        <w:rPr>
          <w:b/>
          <w:bCs/>
        </w:rPr>
        <w:t>5. Multi-Market / Multi-Node Analysis</w:t>
      </w:r>
    </w:p>
    <w:p w14:paraId="4FA15FF8" w14:textId="77777777" w:rsidR="00490806" w:rsidRPr="00490806" w:rsidRDefault="00490806" w:rsidP="00490806">
      <w:r w:rsidRPr="00490806">
        <w:t>Right now, the system is hardcoded to the Netherlands (NL).</w:t>
      </w:r>
    </w:p>
    <w:p w14:paraId="7CEB7E8A" w14:textId="77777777" w:rsidR="00490806" w:rsidRPr="00490806" w:rsidRDefault="00490806" w:rsidP="00490806">
      <w:pPr>
        <w:numPr>
          <w:ilvl w:val="0"/>
          <w:numId w:val="5"/>
        </w:numPr>
      </w:pPr>
      <w:r w:rsidRPr="00490806">
        <w:rPr>
          <w:b/>
          <w:bCs/>
        </w:rPr>
        <w:lastRenderedPageBreak/>
        <w:t>The Upgrade:</w:t>
      </w:r>
      <w:r w:rsidRPr="00490806">
        <w:t xml:space="preserve"> Expand the data_ingestion.py script to fetch prices for Germany (DE), Belgium (BE), and the UK (GB). Add a dropdown to the Streamlit UI allowing the user to select the country. This turns your MVP into a geographic investment tool to find out which European market yields the highest ROI for a specific battery configuration.</w:t>
      </w:r>
    </w:p>
    <w:p w14:paraId="71625EFA" w14:textId="77777777" w:rsidR="00490806" w:rsidRPr="00490806" w:rsidRDefault="00490806" w:rsidP="00490806">
      <w:r w:rsidRPr="00490806">
        <w:t>Which of these directions sounds the most exciting for the next phase of development?</w:t>
      </w:r>
    </w:p>
    <w:p w14:paraId="251DAB08" w14:textId="44BA4C7B" w:rsidR="006F6EEE" w:rsidRPr="006F6EEE" w:rsidRDefault="006F6EEE" w:rsidP="006F6EEE">
      <w:pPr>
        <w:rPr>
          <w:b/>
          <w:bCs/>
        </w:rPr>
      </w:pPr>
      <w:r>
        <w:rPr>
          <w:b/>
          <w:bCs/>
          <w:lang w:val="en-US"/>
        </w:rPr>
        <w:t>6</w:t>
      </w:r>
      <w:r w:rsidRPr="006F6EEE">
        <w:rPr>
          <w:b/>
          <w:bCs/>
        </w:rPr>
        <w:t>. Why take the MVP in this direction? (Price Maker vs. Price Taker)</w:t>
      </w:r>
    </w:p>
    <w:p w14:paraId="7E3727FF" w14:textId="77777777" w:rsidR="006F6EEE" w:rsidRPr="006F6EEE" w:rsidRDefault="006F6EEE" w:rsidP="006F6EEE">
      <w:r w:rsidRPr="006F6EEE">
        <w:t xml:space="preserve">Right now, our MVP assumes our battery is a </w:t>
      </w:r>
      <w:r w:rsidRPr="006F6EEE">
        <w:rPr>
          <w:b/>
          <w:bCs/>
        </w:rPr>
        <w:t>"Price Taker"</w:t>
      </w:r>
      <w:r w:rsidRPr="006F6EEE">
        <w:t>—meaning it is too small to affect the €/MWh price of the Dutch market.</w:t>
      </w:r>
    </w:p>
    <w:p w14:paraId="25066207" w14:textId="77777777" w:rsidR="006F6EEE" w:rsidRPr="006F6EEE" w:rsidRDefault="006F6EEE" w:rsidP="006F6EEE">
      <w:r w:rsidRPr="006F6EEE">
        <w:t xml:space="preserve">If you plan to model a massive, multi-gigawatt battery portfolio, you become a </w:t>
      </w:r>
      <w:r w:rsidRPr="006F6EEE">
        <w:rPr>
          <w:b/>
          <w:bCs/>
        </w:rPr>
        <w:t>"Price Maker"</w:t>
      </w:r>
      <w:r w:rsidRPr="006F6EEE">
        <w:t xml:space="preserve">. If you dump 2 GW of power into the grid at 6:00 PM, you will actively crash the price you are trying to sell at. You absolutely </w:t>
      </w:r>
      <w:r w:rsidRPr="006F6EEE">
        <w:rPr>
          <w:i/>
          <w:iCs/>
        </w:rPr>
        <w:t>need</w:t>
      </w:r>
      <w:r w:rsidRPr="006F6EEE">
        <w:t xml:space="preserve"> an Agent-Based Model to simulate how the rest of the market reacts to your massive battery.</w:t>
      </w:r>
    </w:p>
    <w:p w14:paraId="00EB767F" w14:textId="77777777" w:rsidR="006F6EEE" w:rsidRPr="006F6EEE" w:rsidRDefault="006F6EEE" w:rsidP="006F6EEE">
      <w:r w:rsidRPr="006F6EEE">
        <w:t>If this is a direction you want to take the MVP after the current testing pipeline is secured, we can draft a new phase focused on implementing an overarching market-clearing ABM script!</w:t>
      </w:r>
    </w:p>
    <w:p w14:paraId="5470E134" w14:textId="77777777" w:rsidR="00C64053" w:rsidRDefault="00C64053" w:rsidP="006E0297">
      <w:pPr>
        <w:rPr>
          <w:lang w:val="en-US"/>
        </w:rPr>
      </w:pPr>
    </w:p>
    <w:p w14:paraId="4C22AF45" w14:textId="77777777" w:rsidR="00C64053" w:rsidRDefault="00C64053" w:rsidP="006E0297">
      <w:pPr>
        <w:rPr>
          <w:lang w:val="en-US"/>
        </w:rPr>
      </w:pPr>
    </w:p>
    <w:p w14:paraId="57BD065B" w14:textId="77777777" w:rsidR="00C64053" w:rsidRDefault="00C64053" w:rsidP="006E0297">
      <w:pPr>
        <w:rPr>
          <w:lang w:val="en-US"/>
        </w:rPr>
      </w:pPr>
    </w:p>
    <w:p w14:paraId="4FFC4979" w14:textId="77777777" w:rsidR="00C64053" w:rsidRDefault="00C64053" w:rsidP="006E0297">
      <w:pPr>
        <w:rPr>
          <w:lang w:val="en-US"/>
        </w:rPr>
      </w:pPr>
    </w:p>
    <w:p w14:paraId="14610704" w14:textId="77777777" w:rsidR="00C64053" w:rsidRDefault="00C64053" w:rsidP="006E0297">
      <w:pPr>
        <w:rPr>
          <w:lang w:val="en-US"/>
        </w:rPr>
      </w:pPr>
    </w:p>
    <w:p w14:paraId="47864A84" w14:textId="77777777" w:rsidR="00C64053" w:rsidRPr="00C64053" w:rsidRDefault="00C64053" w:rsidP="006E0297">
      <w:pPr>
        <w:rPr>
          <w:lang w:val="en-US"/>
        </w:rPr>
      </w:pPr>
    </w:p>
    <w:p w14:paraId="02A46149" w14:textId="77777777" w:rsidR="00C64053" w:rsidRDefault="00C64053" w:rsidP="006E0297">
      <w:pPr>
        <w:rPr>
          <w:lang w:val="en-US"/>
        </w:rPr>
      </w:pPr>
    </w:p>
    <w:p w14:paraId="3FDF8862" w14:textId="77777777" w:rsidR="00C64053" w:rsidRDefault="00C64053" w:rsidP="006E0297">
      <w:pPr>
        <w:rPr>
          <w:lang w:val="en-US"/>
        </w:rPr>
      </w:pPr>
    </w:p>
    <w:p w14:paraId="31B17E77" w14:textId="77777777" w:rsidR="00C64053" w:rsidRDefault="00C64053" w:rsidP="006E0297">
      <w:pPr>
        <w:rPr>
          <w:lang w:val="en-US"/>
        </w:rPr>
      </w:pPr>
    </w:p>
    <w:p w14:paraId="0F9D32BD" w14:textId="77777777" w:rsidR="00C64053" w:rsidRDefault="00C64053" w:rsidP="006E0297">
      <w:pPr>
        <w:rPr>
          <w:lang w:val="en-US"/>
        </w:rPr>
      </w:pPr>
    </w:p>
    <w:p w14:paraId="2D0E5915" w14:textId="77777777" w:rsidR="00C64053" w:rsidRDefault="00C64053" w:rsidP="006E0297">
      <w:pPr>
        <w:rPr>
          <w:lang w:val="en-US"/>
        </w:rPr>
      </w:pPr>
    </w:p>
    <w:p w14:paraId="2AE30DD2" w14:textId="77777777" w:rsidR="00C64053" w:rsidRDefault="00C64053" w:rsidP="006E0297">
      <w:pPr>
        <w:rPr>
          <w:lang w:val="en-US"/>
        </w:rPr>
      </w:pPr>
    </w:p>
    <w:p w14:paraId="0B4EB418" w14:textId="77777777" w:rsidR="00C64053" w:rsidRDefault="00C64053" w:rsidP="006E0297">
      <w:pPr>
        <w:rPr>
          <w:lang w:val="en-US"/>
        </w:rPr>
      </w:pPr>
    </w:p>
    <w:p w14:paraId="246FCEE5" w14:textId="77777777" w:rsidR="00C64053" w:rsidRDefault="00C64053" w:rsidP="006E0297">
      <w:pPr>
        <w:rPr>
          <w:lang w:val="en-US"/>
        </w:rPr>
      </w:pPr>
    </w:p>
    <w:p w14:paraId="53F5C723" w14:textId="77777777" w:rsidR="00C64053" w:rsidRDefault="00C64053" w:rsidP="006E0297">
      <w:pPr>
        <w:rPr>
          <w:lang w:val="en-US"/>
        </w:rPr>
      </w:pPr>
    </w:p>
    <w:p w14:paraId="488EE8BF" w14:textId="49EB2FBA" w:rsidR="00C64053" w:rsidRPr="00C64053" w:rsidRDefault="00C64053" w:rsidP="00C64053">
      <w:pPr>
        <w:rPr>
          <w:b/>
          <w:bCs/>
          <w:lang w:val="en-US"/>
        </w:rPr>
      </w:pPr>
      <w:r w:rsidRPr="00C64053">
        <w:rPr>
          <w:b/>
          <w:bCs/>
        </w:rPr>
        <w:lastRenderedPageBreak/>
        <w:t>BESS Architecture &amp; Market Reality Audit</w:t>
      </w:r>
    </w:p>
    <w:p w14:paraId="2D83BBC2" w14:textId="77777777" w:rsidR="00C64053" w:rsidRPr="00C64053" w:rsidRDefault="00C64053" w:rsidP="00C64053">
      <w:pPr>
        <w:rPr>
          <w:b/>
          <w:bCs/>
        </w:rPr>
      </w:pPr>
      <w:r w:rsidRPr="00C64053">
        <w:rPr>
          <w:b/>
          <w:bCs/>
        </w:rPr>
        <w:t>1. Financial Engine: The COGS Accounting Deficit</w:t>
      </w:r>
    </w:p>
    <w:p w14:paraId="31C6C92F" w14:textId="77777777" w:rsidR="00C64053" w:rsidRPr="00C64053" w:rsidRDefault="00C64053" w:rsidP="00C64053">
      <w:r w:rsidRPr="00C64053">
        <w:rPr>
          <w:b/>
          <w:bCs/>
        </w:rPr>
        <w:t>Target:</w:t>
      </w:r>
      <w:r w:rsidRPr="00C64053">
        <w:t xml:space="preserve"> finance_engine_5.py &amp; app_5.py </w:t>
      </w:r>
      <w:r w:rsidRPr="00C64053">
        <w:rPr>
          <w:b/>
          <w:bCs/>
        </w:rPr>
        <w:t>The Flaw:</w:t>
      </w:r>
      <w:r w:rsidRPr="00C64053">
        <w:t xml:space="preserve"> As we discussed, the current engine pools all charging costs into a single Total_Charging_Cost_EUR bucket. Looking at the image_355dc1.png dashboard, Charging Costs consume 66% of the cost structure pie, while DA Revenue only makes up 25% of the revenue pie. To an untrained investor, Day-Ahead Arbitrage looks like a massive net loss. </w:t>
      </w:r>
      <w:r w:rsidRPr="00C64053">
        <w:rPr>
          <w:b/>
          <w:bCs/>
        </w:rPr>
        <w:t>The Fix:</w:t>
      </w:r>
      <w:r w:rsidRPr="00C64053">
        <w:t xml:space="preserve"> We must implement </w:t>
      </w:r>
      <w:r w:rsidRPr="00C64053">
        <w:rPr>
          <w:b/>
          <w:bCs/>
        </w:rPr>
        <w:t>Volume-Weighted COGS Allocation</w:t>
      </w:r>
      <w:r w:rsidRPr="00C64053">
        <w:t>.</w:t>
      </w:r>
    </w:p>
    <w:p w14:paraId="3220E365" w14:textId="77777777" w:rsidR="00C64053" w:rsidRPr="00C64053" w:rsidRDefault="00C64053" w:rsidP="00C64053">
      <w:pPr>
        <w:numPr>
          <w:ilvl w:val="0"/>
          <w:numId w:val="6"/>
        </w:numPr>
      </w:pPr>
      <w:r w:rsidRPr="00C64053">
        <w:t>We calculate the total physical MWh discharged to the DA market versus the physical MWh discharged for aFRR activations.</w:t>
      </w:r>
    </w:p>
    <w:p w14:paraId="32C072EF" w14:textId="77777777" w:rsidR="00C64053" w:rsidRPr="00C64053" w:rsidRDefault="00C64053" w:rsidP="00C64053">
      <w:pPr>
        <w:numPr>
          <w:ilvl w:val="0"/>
          <w:numId w:val="6"/>
        </w:numPr>
      </w:pPr>
      <w:r w:rsidRPr="00C64053">
        <w:t>We convert these to proportional fractions (e.g., 60% DA, 40% aFRR).</w:t>
      </w:r>
    </w:p>
    <w:p w14:paraId="1C05FB1D" w14:textId="77777777" w:rsidR="00C64053" w:rsidRPr="00C64053" w:rsidRDefault="00C64053" w:rsidP="00C64053">
      <w:pPr>
        <w:numPr>
          <w:ilvl w:val="0"/>
          <w:numId w:val="6"/>
        </w:numPr>
      </w:pPr>
      <w:r w:rsidRPr="00C64053">
        <w:t>We split the total_charging_cost by these fractions into DA_COGS and aFRR_COGS.</w:t>
      </w:r>
    </w:p>
    <w:p w14:paraId="2C7F5B88" w14:textId="77777777" w:rsidR="00C64053" w:rsidRPr="00C64053" w:rsidRDefault="00C64053" w:rsidP="00C64053">
      <w:pPr>
        <w:numPr>
          <w:ilvl w:val="0"/>
          <w:numId w:val="6"/>
        </w:numPr>
      </w:pPr>
      <w:r w:rsidRPr="00C64053">
        <w:t xml:space="preserve">We export these Net Revenues to app_5.py to rebuild the Waterfall Chart so it accurately reflects the </w:t>
      </w:r>
      <w:r w:rsidRPr="00C64053">
        <w:rPr>
          <w:i/>
          <w:iCs/>
        </w:rPr>
        <w:t>true</w:t>
      </w:r>
      <w:r w:rsidRPr="00C64053">
        <w:t xml:space="preserve"> profitability of each market strategy.</w:t>
      </w:r>
    </w:p>
    <w:p w14:paraId="2CE73BA3" w14:textId="77777777" w:rsidR="00C64053" w:rsidRPr="00C64053" w:rsidRDefault="00C64053" w:rsidP="00C64053">
      <w:pPr>
        <w:rPr>
          <w:b/>
          <w:bCs/>
        </w:rPr>
      </w:pPr>
      <w:r w:rsidRPr="00C64053">
        <w:rPr>
          <w:b/>
          <w:bCs/>
        </w:rPr>
        <w:t>2. Quant Engine: The Activation Penalty Bug</w:t>
      </w:r>
    </w:p>
    <w:p w14:paraId="3DE79DC7" w14:textId="77777777" w:rsidR="00C64053" w:rsidRPr="00C64053" w:rsidRDefault="00C64053" w:rsidP="00C64053">
      <w:r w:rsidRPr="00C64053">
        <w:rPr>
          <w:b/>
          <w:bCs/>
        </w:rPr>
        <w:t>Target:</w:t>
      </w:r>
      <w:r w:rsidRPr="00C64053">
        <w:t xml:space="preserve"> quant_engine_5.py </w:t>
      </w:r>
      <w:r w:rsidRPr="00C64053">
        <w:rPr>
          <w:b/>
          <w:bCs/>
        </w:rPr>
        <w:t>The Flaw:</w:t>
      </w:r>
      <w:r w:rsidRPr="00C64053">
        <w:t xml:space="preserve"> I found a critical mathematical bug in your Linear Programming topology. If you look at quant_engine_5.py around line 73, you calculate the proxy: activation_reward_proxy = prices_df_naive.get('forecast_price', pd.Series(0.0, ...)) However, on line 78, when you instantiate the aFRR_Up_Activation link, you set: marginal_cost=degradation_penalty</w:t>
      </w:r>
    </w:p>
    <w:p w14:paraId="799CB2A8" w14:textId="77777777" w:rsidR="00C64053" w:rsidRPr="00C64053" w:rsidRDefault="00C64053" w:rsidP="00C64053">
      <w:r w:rsidRPr="00C64053">
        <w:rPr>
          <w:b/>
          <w:bCs/>
        </w:rPr>
        <w:t>The Impact:</w:t>
      </w:r>
      <w:r w:rsidRPr="00C64053">
        <w:t xml:space="preserve"> The hotfix to subtract the reward proxy was lost! The PyPSA solver currently believes that physically activating the battery for aFRR yields €0 revenue but incurs a €5/MWh degradation penalty. The solver is mathematically treating physical activation as a pure financial loss, heavily suppressing your asset's willingness to bid into the aFRR market.</w:t>
      </w:r>
    </w:p>
    <w:p w14:paraId="19F1DE72" w14:textId="77777777" w:rsidR="00C64053" w:rsidRPr="00C64053" w:rsidRDefault="00C64053" w:rsidP="00C64053">
      <w:pPr>
        <w:rPr>
          <w:b/>
          <w:bCs/>
        </w:rPr>
      </w:pPr>
      <w:r w:rsidRPr="00C64053">
        <w:rPr>
          <w:b/>
          <w:bCs/>
        </w:rPr>
        <w:t>4. Market Reality: The "Flat 15%" Activation Fallacy</w:t>
      </w:r>
    </w:p>
    <w:p w14:paraId="6EEF842B" w14:textId="77777777" w:rsidR="00C64053" w:rsidRPr="00C64053" w:rsidRDefault="00C64053" w:rsidP="00C64053">
      <w:r w:rsidRPr="00C64053">
        <w:rPr>
          <w:b/>
          <w:bCs/>
        </w:rPr>
        <w:t>Target:</w:t>
      </w:r>
      <w:r w:rsidRPr="00C64053">
        <w:t xml:space="preserve"> quant_engine_5.py </w:t>
      </w:r>
      <w:r w:rsidRPr="00C64053">
        <w:rPr>
          <w:b/>
          <w:bCs/>
        </w:rPr>
        <w:t>The Flaw:</w:t>
      </w:r>
      <w:r w:rsidRPr="00C64053">
        <w:t xml:space="preserve"> The constraint afrr_activation == afrr_up * 0.15 assumes a perfectly static 15% activation rate for every 15-minute block of the year. </w:t>
      </w:r>
      <w:r w:rsidRPr="00C64053">
        <w:rPr>
          <w:b/>
          <w:bCs/>
        </w:rPr>
        <w:t>The Market Reality:</w:t>
      </w:r>
      <w:r w:rsidRPr="00C64053">
        <w:t xml:space="preserve"> TenneT only activates reserves when the grid is imbalanced. If the grid is long (too much power), aFRR_Up is activated 0%. If the grid is severely short, aFRR_Up might be activated 80%. </w:t>
      </w:r>
      <w:r w:rsidRPr="00C64053">
        <w:rPr>
          <w:b/>
          <w:bCs/>
        </w:rPr>
        <w:t>The Fix:</w:t>
      </w:r>
      <w:r w:rsidRPr="00C64053">
        <w:t xml:space="preserve"> Since we already ingest imbalance_price_15m in data_ingestion_5.py, we should map historical activation probabilities dynamically to the imbalance price state. If the forecast imbalance is massive, the expected activation rate should mathematically spike in the LP constraints.</w:t>
      </w:r>
    </w:p>
    <w:p w14:paraId="75AE4DC5" w14:textId="77777777" w:rsidR="00C64053" w:rsidRPr="00C64053" w:rsidRDefault="00C64053" w:rsidP="00C64053">
      <w:pPr>
        <w:rPr>
          <w:b/>
          <w:bCs/>
        </w:rPr>
      </w:pPr>
      <w:r w:rsidRPr="00C64053">
        <w:rPr>
          <w:b/>
          <w:bCs/>
        </w:rPr>
        <w:t>5. Physical Reality: Calendar Aging &amp; Resting SOC</w:t>
      </w:r>
    </w:p>
    <w:p w14:paraId="3AEA6AFD" w14:textId="77777777" w:rsidR="00C64053" w:rsidRPr="00C64053" w:rsidRDefault="00C64053" w:rsidP="00C64053">
      <w:r w:rsidRPr="00C64053">
        <w:rPr>
          <w:b/>
          <w:bCs/>
        </w:rPr>
        <w:lastRenderedPageBreak/>
        <w:t>Target:</w:t>
      </w:r>
      <w:r w:rsidRPr="00C64053">
        <w:t xml:space="preserve"> finance_engine_5.py </w:t>
      </w:r>
      <w:r w:rsidRPr="00C64053">
        <w:rPr>
          <w:b/>
          <w:bCs/>
        </w:rPr>
        <w:t>The Flaw:</w:t>
      </w:r>
      <w:r w:rsidRPr="00C64053">
        <w:t xml:space="preserve"> Our degradation model (Annual_Degradation_Cost_EUR) relies purely on Equivalent Full Cycles (EFC). </w:t>
      </w:r>
      <w:r w:rsidRPr="00C64053">
        <w:rPr>
          <w:b/>
          <w:bCs/>
        </w:rPr>
        <w:t>The Physical Reality:</w:t>
      </w:r>
      <w:r w:rsidRPr="00C64053">
        <w:t xml:space="preserve"> Lithium Iron Phosphate (LFP) cells degrade even when sitting idle, and they degrade faster if they sit idle at 100% State of Charge (SoC). Real trading desks use penalty functions to force the battery to rest at ~50% SoC when not trading to preserve cell health. Currently, if PyPSA finishes a morning trade, it might sit at 100% SoC for 12 hours waiting for the evening peak, which physically destroys the battery.</w:t>
      </w:r>
    </w:p>
    <w:p w14:paraId="7CA9E7E8" w14:textId="77777777" w:rsidR="00C64053" w:rsidRPr="006E0297" w:rsidRDefault="00C64053" w:rsidP="006E0297">
      <w:pPr>
        <w:rPr>
          <w:lang w:val="en-US"/>
        </w:rPr>
      </w:pPr>
    </w:p>
    <w:p w14:paraId="5AD69639" w14:textId="77777777" w:rsidR="006E0297" w:rsidRDefault="006E0297">
      <w:pPr>
        <w:rPr>
          <w:lang w:val="en-US"/>
        </w:rPr>
      </w:pPr>
    </w:p>
    <w:p w14:paraId="0B51EFAA" w14:textId="77777777" w:rsidR="00E96421" w:rsidRDefault="00E96421">
      <w:pPr>
        <w:rPr>
          <w:lang w:val="en-US"/>
        </w:rPr>
      </w:pPr>
    </w:p>
    <w:p w14:paraId="702F8C9D" w14:textId="5E043292" w:rsidR="00AC69A6" w:rsidRDefault="007D3C85">
      <w:pPr>
        <w:rPr>
          <w:b/>
          <w:bCs/>
          <w:lang w:val="en-US"/>
        </w:rPr>
      </w:pPr>
      <w:r>
        <w:rPr>
          <w:b/>
          <w:bCs/>
          <w:lang w:val="en-US"/>
        </w:rPr>
        <w:t>Including temperature data to improve forecast</w:t>
      </w:r>
    </w:p>
    <w:p w14:paraId="139FA4A3" w14:textId="367EC7A7" w:rsidR="00FE016E" w:rsidRPr="00402DCD" w:rsidRDefault="00E134B8">
      <w:pPr>
        <w:rPr>
          <w:lang w:val="en-US"/>
        </w:rPr>
      </w:pPr>
      <w:r>
        <w:rPr>
          <w:b/>
          <w:bCs/>
          <w:lang w:val="en-US"/>
        </w:rPr>
        <w:t xml:space="preserve">Multi horizon </w:t>
      </w:r>
      <w:proofErr w:type="spellStart"/>
      <w:r>
        <w:rPr>
          <w:b/>
          <w:bCs/>
          <w:lang w:val="en-US"/>
        </w:rPr>
        <w:t>optimisation</w:t>
      </w:r>
      <w:proofErr w:type="spellEnd"/>
      <w:r w:rsidR="00991172">
        <w:rPr>
          <w:b/>
          <w:bCs/>
          <w:lang w:val="en-US"/>
        </w:rPr>
        <w:br/>
      </w:r>
      <w:r w:rsidR="00991172">
        <w:rPr>
          <w:b/>
          <w:bCs/>
          <w:lang w:val="en-US"/>
        </w:rPr>
        <w:br/>
        <w:t xml:space="preserve">Resolve the issue with strict </w:t>
      </w:r>
      <w:proofErr w:type="gramStart"/>
      <w:r w:rsidR="00991172">
        <w:rPr>
          <w:b/>
          <w:bCs/>
          <w:lang w:val="en-US"/>
        </w:rPr>
        <w:t>15 year</w:t>
      </w:r>
      <w:proofErr w:type="gramEnd"/>
      <w:r w:rsidR="00991172">
        <w:rPr>
          <w:b/>
          <w:bCs/>
          <w:lang w:val="en-US"/>
        </w:rPr>
        <w:t xml:space="preserve"> life cycle of the battery </w:t>
      </w:r>
      <w:r w:rsidR="00991172">
        <w:rPr>
          <w:b/>
          <w:bCs/>
          <w:lang w:val="en-US"/>
        </w:rPr>
        <w:br/>
      </w:r>
    </w:p>
    <w:sectPr w:rsidR="00FE016E" w:rsidRPr="00402DC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D2BFA"/>
    <w:multiLevelType w:val="multilevel"/>
    <w:tmpl w:val="9910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CF1B4E"/>
    <w:multiLevelType w:val="multilevel"/>
    <w:tmpl w:val="4A50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936DE5"/>
    <w:multiLevelType w:val="multilevel"/>
    <w:tmpl w:val="7AD80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7C6DCB"/>
    <w:multiLevelType w:val="multilevel"/>
    <w:tmpl w:val="906C1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FA718A"/>
    <w:multiLevelType w:val="multilevel"/>
    <w:tmpl w:val="397A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DB0806"/>
    <w:multiLevelType w:val="multilevel"/>
    <w:tmpl w:val="02A4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872155">
    <w:abstractNumId w:val="4"/>
  </w:num>
  <w:num w:numId="2" w16cid:durableId="2066097191">
    <w:abstractNumId w:val="2"/>
  </w:num>
  <w:num w:numId="3" w16cid:durableId="490609087">
    <w:abstractNumId w:val="0"/>
  </w:num>
  <w:num w:numId="4" w16cid:durableId="1004936596">
    <w:abstractNumId w:val="3"/>
  </w:num>
  <w:num w:numId="5" w16cid:durableId="841969273">
    <w:abstractNumId w:val="5"/>
  </w:num>
  <w:num w:numId="6" w16cid:durableId="19282308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243"/>
    <w:rsid w:val="000373B0"/>
    <w:rsid w:val="00107311"/>
    <w:rsid w:val="00147147"/>
    <w:rsid w:val="003F3D25"/>
    <w:rsid w:val="00401505"/>
    <w:rsid w:val="00402DCD"/>
    <w:rsid w:val="00490806"/>
    <w:rsid w:val="006D58C2"/>
    <w:rsid w:val="006E0297"/>
    <w:rsid w:val="006F6EEE"/>
    <w:rsid w:val="00750464"/>
    <w:rsid w:val="007D3C85"/>
    <w:rsid w:val="007E6099"/>
    <w:rsid w:val="008C5FFF"/>
    <w:rsid w:val="00925665"/>
    <w:rsid w:val="00991172"/>
    <w:rsid w:val="009C6C70"/>
    <w:rsid w:val="009D036D"/>
    <w:rsid w:val="00A0551B"/>
    <w:rsid w:val="00A505BB"/>
    <w:rsid w:val="00AC69A6"/>
    <w:rsid w:val="00C64053"/>
    <w:rsid w:val="00CB72EB"/>
    <w:rsid w:val="00D95A92"/>
    <w:rsid w:val="00DD2243"/>
    <w:rsid w:val="00E134B8"/>
    <w:rsid w:val="00E96421"/>
    <w:rsid w:val="00EE2A22"/>
    <w:rsid w:val="00F433D5"/>
    <w:rsid w:val="00FE0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F5BC2"/>
  <w15:chartTrackingRefBased/>
  <w15:docId w15:val="{3C5504C6-A4C4-400C-835A-F496259D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2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2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2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2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2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2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2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2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2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2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2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2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2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2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2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2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2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2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2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2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2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2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2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2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2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2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2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2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2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17259</TotalTime>
  <Pages>4</Pages>
  <Words>984</Words>
  <Characters>5613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vats</dc:creator>
  <cp:keywords/>
  <dc:description/>
  <cp:lastModifiedBy>vivek vats</cp:lastModifiedBy>
  <cp:revision>2</cp:revision>
  <dcterms:created xsi:type="dcterms:W3CDTF">2026-07-03T10:34:00Z</dcterms:created>
  <dcterms:modified xsi:type="dcterms:W3CDTF">2026-07-20T07:50:00Z</dcterms:modified>
</cp:coreProperties>
</file>