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BF74F" w14:textId="77777777" w:rsidR="00490806" w:rsidRPr="00490806" w:rsidRDefault="00490806" w:rsidP="00490806">
      <w:pPr>
        <w:rPr>
          <w:b/>
          <w:bCs/>
        </w:rPr>
      </w:pPr>
      <w:r w:rsidRPr="00490806">
        <w:rPr>
          <w:b/>
          <w:bCs/>
        </w:rPr>
        <w:t>1. Eliminate "Perfect Foresight" (Machine Learning Integration)</w:t>
      </w:r>
    </w:p>
    <w:p w14:paraId="22BB57C2" w14:textId="77777777" w:rsidR="00490806" w:rsidRPr="00490806" w:rsidRDefault="00490806" w:rsidP="00490806">
      <w:r w:rsidRPr="00490806">
        <w:t>Currently, the PyPSA quant_engine.py looks at the whole year of day_ahead_prices at once. It knows exactly what the price will be at 4:00 PM on December 31st before the year even begins. This is called "perfect foresight" and overstates real-world profits.</w:t>
      </w:r>
    </w:p>
    <w:p w14:paraId="082280F3" w14:textId="77777777" w:rsidR="00490806" w:rsidRPr="00490806" w:rsidRDefault="00490806" w:rsidP="00490806">
      <w:pPr>
        <w:numPr>
          <w:ilvl w:val="0"/>
          <w:numId w:val="1"/>
        </w:numPr>
      </w:pPr>
      <w:r w:rsidRPr="00490806">
        <w:rPr>
          <w:b/>
          <w:bCs/>
        </w:rPr>
        <w:t>The Upgrade:</w:t>
      </w:r>
      <w:r w:rsidRPr="00490806">
        <w:t xml:space="preserve"> Build a predictive ML model (e.g., XGBoost, LSTM, or LightGBM) that predicts prices 24–48 hours ahead based on weather, wind/solar generation forecasts, and gas prices. Feed the </w:t>
      </w:r>
      <w:r w:rsidRPr="00490806">
        <w:rPr>
          <w:i/>
          <w:iCs/>
        </w:rPr>
        <w:t>forecasted</w:t>
      </w:r>
      <w:r w:rsidRPr="00490806">
        <w:t xml:space="preserve"> prices to the optimizer, but evaluate the financials against the </w:t>
      </w:r>
      <w:r w:rsidRPr="00490806">
        <w:rPr>
          <w:i/>
          <w:iCs/>
        </w:rPr>
        <w:t>actual</w:t>
      </w:r>
      <w:r w:rsidRPr="00490806">
        <w:t xml:space="preserve"> historical prices.</w:t>
      </w:r>
    </w:p>
    <w:p w14:paraId="2EB9AB17" w14:textId="77777777" w:rsidR="00490806" w:rsidRPr="00490806" w:rsidRDefault="00490806" w:rsidP="00490806">
      <w:pPr>
        <w:rPr>
          <w:b/>
          <w:bCs/>
        </w:rPr>
      </w:pPr>
      <w:r w:rsidRPr="00490806">
        <w:rPr>
          <w:b/>
          <w:bCs/>
        </w:rPr>
        <w:t>2. Implement Revenue Stacking (Ancillary Services)</w:t>
      </w:r>
    </w:p>
    <w:p w14:paraId="23E56FC4" w14:textId="77777777" w:rsidR="00490806" w:rsidRPr="00490806" w:rsidRDefault="00490806" w:rsidP="00490806">
      <w:r w:rsidRPr="00490806">
        <w:t>You previously paused the v7.0 Revenue Stacking pivot to focus on testing (which was the right engineering choice!). Now that the system is stable, you can re-open it.</w:t>
      </w:r>
    </w:p>
    <w:p w14:paraId="33FD86F3" w14:textId="77777777" w:rsidR="00490806" w:rsidRPr="00490806" w:rsidRDefault="00490806" w:rsidP="00490806">
      <w:pPr>
        <w:numPr>
          <w:ilvl w:val="0"/>
          <w:numId w:val="2"/>
        </w:numPr>
      </w:pPr>
      <w:r w:rsidRPr="00490806">
        <w:rPr>
          <w:b/>
          <w:bCs/>
        </w:rPr>
        <w:t>The Upgrade:</w:t>
      </w:r>
      <w:r w:rsidRPr="00490806">
        <w:t xml:space="preserve"> Update the PyPSA engine to co-optimize for the Day-Ahead market (energy arbitrage) and the FCR/aFRR markets (capacity reservation). This involves replacing the simple StorageUnit with a more complex topology of Buses, Links, and Stores so the battery can reserve some of its power capacity for grid balancing while trading the rest.</w:t>
      </w:r>
    </w:p>
    <w:p w14:paraId="202EDC77" w14:textId="77777777" w:rsidR="00490806" w:rsidRPr="00490806" w:rsidRDefault="00490806" w:rsidP="00490806">
      <w:pPr>
        <w:rPr>
          <w:b/>
          <w:bCs/>
        </w:rPr>
      </w:pPr>
      <w:r w:rsidRPr="00490806">
        <w:rPr>
          <w:b/>
          <w:bCs/>
        </w:rPr>
        <w:t>3. Containerization and CI/CD (DevOps)</w:t>
      </w:r>
    </w:p>
    <w:p w14:paraId="40CC7FF2" w14:textId="77777777" w:rsidR="00490806" w:rsidRPr="00490806" w:rsidRDefault="00490806" w:rsidP="00490806">
      <w:r w:rsidRPr="00490806">
        <w:t>Now that you have the Master E2E test in the Canvas, you should automate it.</w:t>
      </w:r>
    </w:p>
    <w:p w14:paraId="00554208" w14:textId="77777777" w:rsidR="00490806" w:rsidRPr="00490806" w:rsidRDefault="00490806" w:rsidP="00490806">
      <w:pPr>
        <w:numPr>
          <w:ilvl w:val="0"/>
          <w:numId w:val="3"/>
        </w:numPr>
      </w:pPr>
      <w:r w:rsidRPr="00490806">
        <w:rPr>
          <w:b/>
          <w:bCs/>
        </w:rPr>
        <w:t>The Upgrade:</w:t>
      </w:r>
      <w:r w:rsidRPr="00490806">
        <w:t xml:space="preserve"> Wrap the entire application (Streamlit, Orchestrator, SQLite) in a Docker container. Set up a GitHub Actions workflow so that every time you push new code to your repository, the test_master_e2e.py script automatically runs in the cloud. If the test fails, the code doesn't deploy.</w:t>
      </w:r>
    </w:p>
    <w:p w14:paraId="61D2DB96" w14:textId="77777777" w:rsidR="00490806" w:rsidRPr="00490806" w:rsidRDefault="00490806" w:rsidP="00490806">
      <w:pPr>
        <w:rPr>
          <w:b/>
          <w:bCs/>
        </w:rPr>
      </w:pPr>
      <w:r w:rsidRPr="00490806">
        <w:rPr>
          <w:b/>
          <w:bCs/>
        </w:rPr>
        <w:t>4. Advanced Non-Linear Degradation</w:t>
      </w:r>
    </w:p>
    <w:p w14:paraId="713EE98D" w14:textId="77777777" w:rsidR="00490806" w:rsidRPr="00490806" w:rsidRDefault="00490806" w:rsidP="00490806">
      <w:r w:rsidRPr="00490806">
        <w:t>As discussed earlier, the current degradation proxy is a linear calculation based on Equivalent Full Cycles (EFC).</w:t>
      </w:r>
    </w:p>
    <w:p w14:paraId="1592A935" w14:textId="77777777" w:rsidR="00490806" w:rsidRPr="00490806" w:rsidRDefault="00490806" w:rsidP="00490806">
      <w:pPr>
        <w:numPr>
          <w:ilvl w:val="0"/>
          <w:numId w:val="4"/>
        </w:numPr>
      </w:pPr>
      <w:r w:rsidRPr="00490806">
        <w:rPr>
          <w:b/>
          <w:bCs/>
        </w:rPr>
        <w:t>The Upgrade:</w:t>
      </w:r>
      <w:r w:rsidRPr="00490806">
        <w:t xml:space="preserve"> Implement true Rainflow-counting in the finance_engine.py that penalizes deep discharges (e.g., 100% DoD) much more severely than shallow micro-cycles (e.g., 20% DoD). You could also introduce Calendar Aging penalties to calculate how the battery degrades just by sitting at a high State of Charge (SOC) over the weekend.</w:t>
      </w:r>
    </w:p>
    <w:p w14:paraId="367207C8" w14:textId="77777777" w:rsidR="00490806" w:rsidRPr="00490806" w:rsidRDefault="00490806" w:rsidP="00490806">
      <w:pPr>
        <w:rPr>
          <w:b/>
          <w:bCs/>
        </w:rPr>
      </w:pPr>
      <w:r w:rsidRPr="00490806">
        <w:rPr>
          <w:b/>
          <w:bCs/>
        </w:rPr>
        <w:t>5. Multi-Market / Multi-Node Analysis</w:t>
      </w:r>
    </w:p>
    <w:p w14:paraId="4FA15FF8" w14:textId="77777777" w:rsidR="00490806" w:rsidRPr="00490806" w:rsidRDefault="00490806" w:rsidP="00490806">
      <w:r w:rsidRPr="00490806">
        <w:t>Right now, the system is hardcoded to the Netherlands (NL).</w:t>
      </w:r>
    </w:p>
    <w:p w14:paraId="7CEB7E8A" w14:textId="77777777" w:rsidR="00490806" w:rsidRPr="00490806" w:rsidRDefault="00490806" w:rsidP="00490806">
      <w:pPr>
        <w:numPr>
          <w:ilvl w:val="0"/>
          <w:numId w:val="5"/>
        </w:numPr>
      </w:pPr>
      <w:r w:rsidRPr="00490806">
        <w:rPr>
          <w:b/>
          <w:bCs/>
        </w:rPr>
        <w:t>The Upgrade:</w:t>
      </w:r>
      <w:r w:rsidRPr="00490806">
        <w:t xml:space="preserve"> Expand the data_ingestion.py script to fetch prices for Germany (DE), Belgium (BE), and the UK (GB). Add a dropdown to the Streamlit UI allowing the user </w:t>
      </w:r>
      <w:r w:rsidRPr="00490806">
        <w:lastRenderedPageBreak/>
        <w:t>to select the country. This turns your MVP into a geographic investment tool to find out which European market yields the highest ROI for a specific battery configuration.</w:t>
      </w:r>
    </w:p>
    <w:p w14:paraId="71625EFA" w14:textId="77777777" w:rsidR="00490806" w:rsidRPr="00490806" w:rsidRDefault="00490806" w:rsidP="00490806">
      <w:r w:rsidRPr="00490806">
        <w:t>Which of these directions sounds the most exciting for the next phase of development?</w:t>
      </w:r>
    </w:p>
    <w:p w14:paraId="251DAB08" w14:textId="44BA4C7B" w:rsidR="006F6EEE" w:rsidRPr="006F6EEE" w:rsidRDefault="006F6EEE" w:rsidP="006F6EEE">
      <w:pPr>
        <w:rPr>
          <w:b/>
          <w:bCs/>
        </w:rPr>
      </w:pPr>
      <w:r>
        <w:rPr>
          <w:b/>
          <w:bCs/>
          <w:lang w:val="en-US"/>
        </w:rPr>
        <w:t>6</w:t>
      </w:r>
      <w:r w:rsidRPr="006F6EEE">
        <w:rPr>
          <w:b/>
          <w:bCs/>
        </w:rPr>
        <w:t>. Why take the MVP in this direction? (Price Maker vs. Price Taker)</w:t>
      </w:r>
    </w:p>
    <w:p w14:paraId="7E3727FF" w14:textId="77777777" w:rsidR="006F6EEE" w:rsidRPr="006F6EEE" w:rsidRDefault="006F6EEE" w:rsidP="006F6EEE">
      <w:r w:rsidRPr="006F6EEE">
        <w:t xml:space="preserve">Right now, our MVP assumes our battery is a </w:t>
      </w:r>
      <w:r w:rsidRPr="006F6EEE">
        <w:rPr>
          <w:b/>
          <w:bCs/>
        </w:rPr>
        <w:t>"Price Taker"</w:t>
      </w:r>
      <w:r w:rsidRPr="006F6EEE">
        <w:t>—meaning it is too small to affect the €/MWh price of the Dutch market.</w:t>
      </w:r>
    </w:p>
    <w:p w14:paraId="25066207" w14:textId="77777777" w:rsidR="006F6EEE" w:rsidRPr="006F6EEE" w:rsidRDefault="006F6EEE" w:rsidP="006F6EEE">
      <w:r w:rsidRPr="006F6EEE">
        <w:t xml:space="preserve">If you plan to model a massive, multi-gigawatt battery portfolio, you become a </w:t>
      </w:r>
      <w:r w:rsidRPr="006F6EEE">
        <w:rPr>
          <w:b/>
          <w:bCs/>
        </w:rPr>
        <w:t>"Price Maker"</w:t>
      </w:r>
      <w:r w:rsidRPr="006F6EEE">
        <w:t xml:space="preserve">. If you dump 2 GW of power into the grid at 6:00 PM, you will actively crash the price you are trying to sell at. You absolutely </w:t>
      </w:r>
      <w:r w:rsidRPr="006F6EEE">
        <w:rPr>
          <w:i/>
          <w:iCs/>
        </w:rPr>
        <w:t>need</w:t>
      </w:r>
      <w:r w:rsidRPr="006F6EEE">
        <w:t xml:space="preserve"> an Agent-Based Model to simulate how the rest of the market reacts to your massive battery.</w:t>
      </w:r>
    </w:p>
    <w:p w14:paraId="00EB767F" w14:textId="77777777" w:rsidR="006F6EEE" w:rsidRPr="006F6EEE" w:rsidRDefault="006F6EEE" w:rsidP="006F6EEE">
      <w:r w:rsidRPr="006F6EEE">
        <w:t>If this is a direction you want to take the MVP after the current testing pipeline is secured, we can draft a new phase focused on implementing an overarching market-clearing ABM script!</w:t>
      </w:r>
    </w:p>
    <w:p w14:paraId="59B8D66A" w14:textId="77777777" w:rsidR="006F6EEE" w:rsidRDefault="006F6EEE">
      <w:pPr>
        <w:rPr>
          <w:lang w:val="en-US"/>
        </w:rPr>
      </w:pPr>
    </w:p>
    <w:p w14:paraId="357EEEC1" w14:textId="77777777" w:rsidR="008C5FFF" w:rsidRDefault="008C5FFF">
      <w:pPr>
        <w:rPr>
          <w:lang w:val="en-US"/>
        </w:rPr>
      </w:pPr>
    </w:p>
    <w:p w14:paraId="75458DF2" w14:textId="77777777" w:rsidR="008C5FFF" w:rsidRDefault="008C5FFF">
      <w:pPr>
        <w:rPr>
          <w:lang w:val="en-US"/>
        </w:rPr>
      </w:pPr>
    </w:p>
    <w:p w14:paraId="6CE32CB6" w14:textId="2DA49C5F" w:rsidR="008C5FFF" w:rsidRPr="006F6EEE" w:rsidRDefault="008C5FFF">
      <w:pPr>
        <w:rPr>
          <w:lang w:val="en-US"/>
        </w:rPr>
      </w:pPr>
      <w:r w:rsidRPr="008C5FFF">
        <w:t>I want to visualise all the data the training data used for the forecasting just for my understanding and making strategy to improve its forecasting. We can implement it somewhere outside of my main MVP like a debugging environment.</w:t>
      </w:r>
    </w:p>
    <w:sectPr w:rsidR="008C5FFF" w:rsidRPr="006F6EE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D2BFA"/>
    <w:multiLevelType w:val="multilevel"/>
    <w:tmpl w:val="9910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936DE5"/>
    <w:multiLevelType w:val="multilevel"/>
    <w:tmpl w:val="7AD8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7C6DCB"/>
    <w:multiLevelType w:val="multilevel"/>
    <w:tmpl w:val="906C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FA718A"/>
    <w:multiLevelType w:val="multilevel"/>
    <w:tmpl w:val="397A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DB0806"/>
    <w:multiLevelType w:val="multilevel"/>
    <w:tmpl w:val="02A4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872155">
    <w:abstractNumId w:val="3"/>
  </w:num>
  <w:num w:numId="2" w16cid:durableId="2066097191">
    <w:abstractNumId w:val="1"/>
  </w:num>
  <w:num w:numId="3" w16cid:durableId="490609087">
    <w:abstractNumId w:val="0"/>
  </w:num>
  <w:num w:numId="4" w16cid:durableId="1004936596">
    <w:abstractNumId w:val="2"/>
  </w:num>
  <w:num w:numId="5" w16cid:durableId="8419692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243"/>
    <w:rsid w:val="00107311"/>
    <w:rsid w:val="00490806"/>
    <w:rsid w:val="006F6EEE"/>
    <w:rsid w:val="008C5FFF"/>
    <w:rsid w:val="00DD2243"/>
    <w:rsid w:val="00F433D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F5BC2"/>
  <w15:chartTrackingRefBased/>
  <w15:docId w15:val="{A7BF8182-4FF8-47A0-9000-1B9498346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2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22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22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22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22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2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2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22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22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22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22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2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243"/>
    <w:rPr>
      <w:rFonts w:eastAsiaTheme="majorEastAsia" w:cstheme="majorBidi"/>
      <w:color w:val="272727" w:themeColor="text1" w:themeTint="D8"/>
    </w:rPr>
  </w:style>
  <w:style w:type="paragraph" w:styleId="Title">
    <w:name w:val="Title"/>
    <w:basedOn w:val="Normal"/>
    <w:next w:val="Normal"/>
    <w:link w:val="TitleChar"/>
    <w:uiPriority w:val="10"/>
    <w:qFormat/>
    <w:rsid w:val="00DD2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243"/>
    <w:pPr>
      <w:spacing w:before="160"/>
      <w:jc w:val="center"/>
    </w:pPr>
    <w:rPr>
      <w:i/>
      <w:iCs/>
      <w:color w:val="404040" w:themeColor="text1" w:themeTint="BF"/>
    </w:rPr>
  </w:style>
  <w:style w:type="character" w:customStyle="1" w:styleId="QuoteChar">
    <w:name w:val="Quote Char"/>
    <w:basedOn w:val="DefaultParagraphFont"/>
    <w:link w:val="Quote"/>
    <w:uiPriority w:val="29"/>
    <w:rsid w:val="00DD2243"/>
    <w:rPr>
      <w:i/>
      <w:iCs/>
      <w:color w:val="404040" w:themeColor="text1" w:themeTint="BF"/>
    </w:rPr>
  </w:style>
  <w:style w:type="paragraph" w:styleId="ListParagraph">
    <w:name w:val="List Paragraph"/>
    <w:basedOn w:val="Normal"/>
    <w:uiPriority w:val="34"/>
    <w:qFormat/>
    <w:rsid w:val="00DD2243"/>
    <w:pPr>
      <w:ind w:left="720"/>
      <w:contextualSpacing/>
    </w:pPr>
  </w:style>
  <w:style w:type="character" w:styleId="IntenseEmphasis">
    <w:name w:val="Intense Emphasis"/>
    <w:basedOn w:val="DefaultParagraphFont"/>
    <w:uiPriority w:val="21"/>
    <w:qFormat/>
    <w:rsid w:val="00DD2243"/>
    <w:rPr>
      <w:i/>
      <w:iCs/>
      <w:color w:val="2F5496" w:themeColor="accent1" w:themeShade="BF"/>
    </w:rPr>
  </w:style>
  <w:style w:type="paragraph" w:styleId="IntenseQuote">
    <w:name w:val="Intense Quote"/>
    <w:basedOn w:val="Normal"/>
    <w:next w:val="Normal"/>
    <w:link w:val="IntenseQuoteChar"/>
    <w:uiPriority w:val="30"/>
    <w:qFormat/>
    <w:rsid w:val="00DD22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2243"/>
    <w:rPr>
      <w:i/>
      <w:iCs/>
      <w:color w:val="2F5496" w:themeColor="accent1" w:themeShade="BF"/>
    </w:rPr>
  </w:style>
  <w:style w:type="character" w:styleId="IntenseReference">
    <w:name w:val="Intense Reference"/>
    <w:basedOn w:val="DefaultParagraphFont"/>
    <w:uiPriority w:val="32"/>
    <w:qFormat/>
    <w:rsid w:val="00DD22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vats</dc:creator>
  <cp:keywords/>
  <dc:description/>
  <cp:lastModifiedBy>vivek vats</cp:lastModifiedBy>
  <cp:revision>1</cp:revision>
  <dcterms:created xsi:type="dcterms:W3CDTF">2026-07-03T10:34:00Z</dcterms:created>
  <dcterms:modified xsi:type="dcterms:W3CDTF">2026-07-05T10:42:00Z</dcterms:modified>
</cp:coreProperties>
</file>