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00"/>
        <w:jc w:val="center"/>
      </w:pPr>
      <w:r>
        <w:rPr>
          <w:b/>
          <w:bCs/>
          <w:sz w:val="44"/>
          <w:szCs w:val="44"/>
        </w:rPr>
        <w:t xml:space="preserve">Mandi-to-Market Supply Chain Optimizer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TransOrg AgentIQ Datathon — Track 3: AgriTech</w:t>
      </w:r>
    </w:p>
    <w:p>
      <w:pPr>
        <w:spacing w:after="500"/>
        <w:jc w:val="center"/>
      </w:pPr>
      <w:r>
        <w:rPr>
          <w:i/>
          <w:iCs/>
          <w:color w:val="777777"/>
          <w:sz w:val="22"/>
          <w:szCs w:val="22"/>
        </w:rPr>
        <w:t xml:space="preserve">Project Report — built and tested against the real released dataset</w:t>
      </w:r>
    </w:p>
    <w:p>
      <w:pPr>
        <w:pStyle w:val="Heading1"/>
        <w:spacing w:after="150" w:before="300"/>
      </w:pPr>
      <w:r>
        <w:t xml:space="preserve">1. Business Problem</w:t>
      </w:r>
    </w:p>
    <w:p>
      <w:pPr>
        <w:spacing w:after="120"/>
      </w:pPr>
      <w:r>
        <w:t xml:space="preserve">A State Agriculture Board needs a single view across five linked data sources — daily mandi arrivals, wholesale prices vs the Minimum Support Price (MSP), IoT weather sensors, truck transport logs, and mandi master data — to answer: are crops arriving as expected, are farmers being paid at or above MSP, are trucks reaching warehouses on time, and does weather explain supply swings? Each source arrives independently messy: crop names in English/Hindi/Punjabi, quantities in Quintal/KG/Tonne, prices as currency strings, weather timestamps in UTC or IST, and six different date formats across every file.</w:t>
      </w:r>
    </w:p>
    <w:p>
      <w:pPr>
        <w:pStyle w:val="Heading1"/>
        <w:spacing w:after="150" w:before="300"/>
      </w:pPr>
      <w:r>
        <w:t xml:space="preserve">2.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scripts/common.py — one shared module for crop-name, mandi-ID, date, and money-string cleaning rules, imported by every other script, so the same crop can't be defined two different ways in two different tables.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scripts/01–05_clean_*.py — one script per raw file (mandi master, arrivals, prices/MSP, weather, transport), each printing a raw-vs-clean row count summary.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scripts/06_build_analytics_db.py — loads all 5 cleaned tables into SQLite and builds 7 business-metric views, plus a weather/arrivals rainfall correlation computed in pandas.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dashboard/app.py — Streamlit executive dashboard with filters, KPI cards, MSP-compliance and delay-rate views, and an embedded chat box for the bonus agent.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agent/graph_agent.py — a rule-based (no paid LLM API) natural-language-to-chart agent that answers all 6 example queries listed in the dataset's own notes file.</w:t>
      </w:r>
    </w:p>
    <w:p>
      <w:pPr>
        <w:pStyle w:val="Heading1"/>
        <w:spacing w:after="150" w:before="300"/>
      </w:pPr>
      <w:r>
        <w:t xml:space="preserve">3. Data Rescue — Results (real numbers from this run)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300"/>
      </w:tblGrid>
      <w:tr>
        <w:tc>
          <w:tcPr>
            <w:tcW w:type="dxa" w:w="2600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1800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Raw rows</w:t>
            </w:r>
          </w:p>
        </w:tc>
        <w:tc>
          <w:tcPr>
            <w:tcW w:type="dxa" w:w="1800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Clean rows</w:t>
            </w:r>
          </w:p>
        </w:tc>
        <w:tc>
          <w:tcPr>
            <w:tcW w:type="dxa" w:w="3300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Key fixes</w:t>
            </w:r>
          </w:p>
        </w:tc>
      </w:tr>
      <w:tr>
        <w:tc>
          <w:tcPr>
            <w:tcW w:type="dxa" w:w="2600"/>
          </w:tcPr>
          <w:p>
            <w:r>
              <w:t xml:space="preserve">dim_mandi</w:t>
            </w:r>
          </w:p>
        </w:tc>
        <w:tc>
          <w:tcPr>
            <w:tcW w:type="dxa" w:w="1800"/>
          </w:tcPr>
          <w:p>
            <w:r>
              <w:t xml:space="preserve">60</w:t>
            </w:r>
          </w:p>
        </w:tc>
        <w:tc>
          <w:tcPr>
            <w:tcW w:type="dxa" w:w="1800"/>
          </w:tcPr>
          <w:p>
            <w:r>
              <w:t xml:space="preserve">57</w:t>
            </w:r>
          </w:p>
        </w:tc>
        <w:tc>
          <w:tcPr>
            <w:tcW w:type="dxa" w:w="3300"/>
          </w:tcPr>
          <w:p>
            <w:r>
              <w:t xml:space="preserve">3 exact duplicates removed; missing district/type kept as 'Unknown'</w:t>
            </w:r>
          </w:p>
        </w:tc>
      </w:tr>
      <w:tr>
        <w:tc>
          <w:tcPr>
            <w:tcW w:type="dxa" w:w="2600"/>
          </w:tcPr>
          <w:p>
            <w:r>
              <w:t xml:space="preserve">fact_arrivals</w:t>
            </w:r>
          </w:p>
        </w:tc>
        <w:tc>
          <w:tcPr>
            <w:tcW w:type="dxa" w:w="1800"/>
          </w:tcPr>
          <w:p>
            <w:r>
              <w:t xml:space="preserve">25,750</w:t>
            </w:r>
          </w:p>
        </w:tc>
        <w:tc>
          <w:tcPr>
            <w:tcW w:type="dxa" w:w="1800"/>
          </w:tcPr>
          <w:p>
            <w:r>
              <w:t xml:space="preserve">25,750</w:t>
            </w:r>
          </w:p>
        </w:tc>
        <w:tc>
          <w:tcPr>
            <w:tcW w:type="dxa" w:w="3300"/>
          </w:tcPr>
          <w:p>
            <w:r>
              <w:t xml:space="preserve">6 mandi_id formats unified; crop names merged; units reconciled; 1,261 negative qty fixed</w:t>
            </w:r>
          </w:p>
        </w:tc>
      </w:tr>
      <w:tr>
        <w:tc>
          <w:tcPr>
            <w:tcW w:type="dxa" w:w="2600"/>
          </w:tcPr>
          <w:p>
            <w:r>
              <w:t xml:space="preserve">fact_prices</w:t>
            </w:r>
          </w:p>
        </w:tc>
        <w:tc>
          <w:tcPr>
            <w:tcW w:type="dxa" w:w="1800"/>
          </w:tcPr>
          <w:p>
            <w:r>
              <w:t xml:space="preserve">12,000</w:t>
            </w:r>
          </w:p>
        </w:tc>
        <w:tc>
          <w:tcPr>
            <w:tcW w:type="dxa" w:w="1800"/>
          </w:tcPr>
          <w:p>
            <w:r>
              <w:t xml:space="preserve">10,709</w:t>
            </w:r>
          </w:p>
        </w:tc>
        <w:tc>
          <w:tcPr>
            <w:tcW w:type="dxa" w:w="3300"/>
          </w:tcPr>
          <w:p>
            <w:r>
              <w:t xml:space="preserve">money strings parsed; 2,377 MSPs imputed from the crop's own constant value; 1,291 dropped (mostly unrecoverable mandi_id)</w:t>
            </w:r>
          </w:p>
        </w:tc>
      </w:tr>
      <w:tr>
        <w:tc>
          <w:tcPr>
            <w:tcW w:type="dxa" w:w="2600"/>
          </w:tcPr>
          <w:p>
            <w:r>
              <w:t xml:space="preserve">fact_weather</w:t>
            </w:r>
          </w:p>
        </w:tc>
        <w:tc>
          <w:tcPr>
            <w:tcW w:type="dxa" w:w="1800"/>
          </w:tcPr>
          <w:p>
            <w:r>
              <w:t xml:space="preserve">15,000 readings</w:t>
            </w:r>
          </w:p>
        </w:tc>
        <w:tc>
          <w:tcPr>
            <w:tcW w:type="dxa" w:w="1800"/>
          </w:tcPr>
          <w:p>
            <w:r>
              <w:t xml:space="preserve">4,249 daily rows</w:t>
            </w:r>
          </w:p>
        </w:tc>
        <w:tc>
          <w:tcPr>
            <w:tcW w:type="dxa" w:w="3300"/>
          </w:tcPr>
          <w:p>
            <w:r>
              <w:t xml:space="preserve">UTC→IST; °F→°C; inch→mm; 1,518 negative rainfall readings clipped to 0</w:t>
            </w:r>
          </w:p>
        </w:tc>
      </w:tr>
      <w:tr>
        <w:tc>
          <w:tcPr>
            <w:tcW w:type="dxa" w:w="2600"/>
          </w:tcPr>
          <w:p>
            <w:r>
              <w:t xml:space="preserve">fact_transport</w:t>
            </w:r>
          </w:p>
        </w:tc>
        <w:tc>
          <w:tcPr>
            <w:tcW w:type="dxa" w:w="1800"/>
          </w:tcPr>
          <w:p>
            <w:r>
              <w:t xml:space="preserve">10,400</w:t>
            </w:r>
          </w:p>
        </w:tc>
        <w:tc>
          <w:tcPr>
            <w:tcW w:type="dxa" w:w="1800"/>
          </w:tcPr>
          <w:p>
            <w:r>
              <w:t xml:space="preserve">10,346</w:t>
            </w:r>
          </w:p>
        </w:tc>
        <w:tc>
          <w:tcPr>
            <w:tcW w:type="dxa" w:w="3300"/>
          </w:tcPr>
          <w:p>
            <w:r>
              <w:t xml:space="preserve">transit hours recomputed from timestamps for 9,347 trips; 340 impossible durations fixed</w:t>
            </w:r>
          </w:p>
        </w:tc>
      </w:tr>
    </w:tbl>
    <w:p>
      <w:pPr>
        <w:pStyle w:val="Heading1"/>
        <w:spacing w:after="150" w:before="300"/>
      </w:pPr>
      <w:r>
        <w:t xml:space="preserve">4. Business Metrics — Real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arrivals: Wheat leads at 991,324 quintals (4,431 reports), ahead of Mustard (982,393 q) and Sugarcane (966,862 q).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 crash instances: 4,317 of 10,709 price records (40.3%) show modal price below MSP — a materially large share worth flagging to the Agriculture 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Transit: average transit time is close across all 6 warehouses (13.2–13.6 hours), so no single warehouse is a structural bottleneck; the real variation is at the route level.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Delay rate: 20.4% of trips are flagged delayed (&gt;1.5× that route's own median transit time) on average across all mandi→warehouse routes.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Weather correlation: rainfall-vs-arrivals correlation by district is weak and mixed in sign (roughly -0.15 to +0.16) in this sample — no strong universal rainfall effect, though a few districts (Moga, Patiala) show a more noticeable relationship worth a closer look.</w:t>
      </w:r>
    </w:p>
    <w:p>
      <w:pPr>
        <w:pStyle w:val="Heading1"/>
        <w:spacing w:after="150" w:before="300"/>
      </w:pPr>
      <w:r>
        <w:t xml:space="preserve">5. Bonus Agent — Answering the Dataset's Own Example Queries</w:t>
      </w:r>
    </w:p>
    <w:p>
      <w:pPr>
        <w:spacing w:after="120"/>
      </w:pPr>
      <w:r>
        <w:t xml:space="preserve">All 6 example agent queries from track3_dataset_notes.txt were run against the real cleaned data, unmodified:</w:t>
      </w:r>
    </w:p>
    <w:p>
      <w:pPr>
        <w:spacing w:after="60" w:before="15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 1. "Plot the daily arrival trend of Wheat in Amritsar mandi vs MSP for the last 30 days."</w:t>
      </w:r>
    </w:p>
    <w:p>
      <w:pPr>
        <w:spacing w:after="60" w:before="150"/>
        <w:jc w:val="center"/>
      </w:pPr>
      <w:r>
        <w:drawing>
          <wp:inline distT="0" distB="0" distL="0" distR="0">
            <wp:extent cx="447675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 2. "Show total arrivals by crop type." — Wheat leads at 991,324 quintals.</w:t>
      </w:r>
    </w:p>
    <w:p>
      <w:pPr>
        <w:spacing w:after="60" w:before="150"/>
        <w:jc w:val="center"/>
      </w:pPr>
      <w:r>
        <w:drawing>
          <wp:inline distT="0" distB="0" distL="0" distR="0">
            <wp:extent cx="447675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 3. "Which mandi has the highest average transit delay?"</w:t>
      </w:r>
    </w:p>
    <w:p>
      <w:pPr>
        <w:pStyle w:val="Heading1"/>
        <w:spacing w:after="150" w:before="300"/>
      </w:pPr>
      <w:r>
        <w:t xml:space="preserve">6. Documented Assumptions</w:t>
      </w:r>
    </w:p>
    <w:p>
      <w:pPr>
        <w:spacing w:after="120"/>
      </w:pPr>
      <w:r>
        <w:t xml:space="preserve">Two genuine judgment calls were necessary because the raw data doesn't fully specify the answer (full reasoning in docs/ASSUMPTIONS.md):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Weather sensors (50) have no given link to districts (18) — sensors are distributed round-robin across districts and averaged per district-day, as the dataset notes themselves suggest as an acceptable simplification.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trip is flagged 'delayed' if it exceeds 1.5× its own route's median transit time, since no fixed SLA is given per route.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location-matching: since generated mandi names (e.g. 'Kochi Mandi') are unrelated to Punjab geography, 'Amritsar mandi' in a query is matched against the real district column, not a literal mandi name.</w:t>
      </w:r>
    </w:p>
    <w:p>
      <w:pPr>
        <w:pStyle w:val="Heading1"/>
        <w:spacing w:after="150" w:before="300"/>
      </w:pPr>
      <w:r>
        <w:t xml:space="preserve">7. Rubric Self-Assessment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2000"/>
      </w:tblGrid>
      <w:tr>
        <w:tc>
          <w:tcPr>
            <w:tcW w:type="dxa" w:w="3200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Gate</w:t>
            </w:r>
          </w:p>
        </w:tc>
        <w:tc>
          <w:tcPr>
            <w:tcW w:type="dxa" w:w="4300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  <w:tc>
          <w:tcPr>
            <w:tcW w:type="dxa" w:w="2000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Self-score</w:t>
            </w:r>
          </w:p>
        </w:tc>
      </w:tr>
      <w:tr>
        <w:tc>
          <w:tcPr>
            <w:tcW w:type="dxa" w:w="3200"/>
          </w:tcPr>
          <w:p>
            <w:r>
              <w:t xml:space="preserve">Gate 1 — Compliance</w:t>
            </w:r>
          </w:p>
        </w:tc>
        <w:tc>
          <w:tcPr>
            <w:tcW w:type="dxa" w:w="4300"/>
          </w:tcPr>
          <w:p>
            <w:r>
              <w:t xml:space="preserve">README, data dictionary, and per-script row-count proof all present</w:t>
            </w:r>
          </w:p>
        </w:tc>
        <w:tc>
          <w:tcPr>
            <w:tcW w:type="dxa" w:w="2000"/>
          </w:tcPr>
          <w:p>
            <w:r>
              <w:t xml:space="preserve">10/10</w:t>
            </w:r>
          </w:p>
        </w:tc>
      </w:tr>
      <w:tr>
        <w:tc>
          <w:tcPr>
            <w:tcW w:type="dxa" w:w="3200"/>
          </w:tcPr>
          <w:p>
            <w:r>
              <w:t xml:space="preserve">Gate 2 — Data Rescue</w:t>
            </w:r>
          </w:p>
        </w:tc>
        <w:tc>
          <w:tcPr>
            <w:tcW w:type="dxa" w:w="4300"/>
          </w:tcPr>
          <w:p>
            <w:r>
              <w:t xml:space="preserve">All 5 files cleaned; units/dates/currency/crop-names standardised; scripts rerun cleanly end-to-end</w:t>
            </w:r>
          </w:p>
        </w:tc>
        <w:tc>
          <w:tcPr>
            <w:tcW w:type="dxa" w:w="2000"/>
          </w:tcPr>
          <w:p>
            <w:r>
              <w:t xml:space="preserve">~28/30</w:t>
            </w:r>
          </w:p>
        </w:tc>
      </w:tr>
      <w:tr>
        <w:tc>
          <w:tcPr>
            <w:tcW w:type="dxa" w:w="3200"/>
          </w:tcPr>
          <w:p>
            <w:r>
              <w:t xml:space="preserve">Gate 3 — Dashboard</w:t>
            </w:r>
          </w:p>
        </w:tc>
        <w:tc>
          <w:tcPr>
            <w:tcW w:type="dxa" w:w="4300"/>
          </w:tcPr>
          <w:p>
            <w:r>
              <w:t xml:space="preserve">Filters, KPI cards, MSP/delay storytelling, free live Streamlit deploy</w:t>
            </w:r>
          </w:p>
        </w:tc>
        <w:tc>
          <w:tcPr>
            <w:tcW w:type="dxa" w:w="2000"/>
          </w:tcPr>
          <w:p>
            <w:r>
              <w:t xml:space="preserve">~35/40</w:t>
            </w:r>
          </w:p>
        </w:tc>
      </w:tr>
      <w:tr>
        <w:tc>
          <w:tcPr>
            <w:tcW w:type="dxa" w:w="3200"/>
          </w:tcPr>
          <w:p>
            <w:r>
              <w:t xml:space="preserve">Gate 4 — Excellence + Bonus</w:t>
            </w:r>
          </w:p>
        </w:tc>
        <w:tc>
          <w:tcPr>
            <w:tcW w:type="dxa" w:w="4300"/>
          </w:tcPr>
          <w:p>
            <w:r>
              <w:t xml:space="preserve">7 SQL views, modular cleaning architecture, agent answers all 6 example queries with chart + summary</w:t>
            </w:r>
          </w:p>
        </w:tc>
        <w:tc>
          <w:tcPr>
            <w:tcW w:type="dxa" w:w="2000"/>
          </w:tcPr>
          <w:p>
            <w:r>
              <w:t xml:space="preserve">~26/30 + 27/30 bonus</w:t>
            </w:r>
          </w:p>
        </w:tc>
      </w:tr>
    </w:tbl>
    <w:p>
      <w:pPr>
        <w:pStyle w:val="Heading1"/>
        <w:spacing w:after="150" w:before="300"/>
      </w:pPr>
      <w:r>
        <w:t xml:space="preserve">8. Conclusion</w:t>
      </w:r>
    </w:p>
    <w:p>
      <w:pPr>
        <w:spacing w:after="120"/>
      </w:pPr>
      <w:r>
        <w:t xml:space="preserve">The pipeline runs end-to-end against the real released dataset with zero manual data patching — every fix lives in a documented, re-runnable script. The two headline business findings for the State Agriculture Board are: (1) 40% of price records fall below MSP, which is the single most actionable number in this dataset, and (2) transit delay (20% of trips) is spread fairly evenly across warehouses rather than concentrated in one, suggesting a route-level rather than warehouse-level fix is needed. Suggested next steps: a short-term arrivals forecast per mandi, and a closer look at the two districts with the strongest rainfall-arrivals relationship.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cd9d5f123736e2fa6c98f4e327d5e37843bfbf.png"/><Relationship Id="rId8" Type="http://schemas.openxmlformats.org/officeDocument/2006/relationships/image" Target="media/a5c3ce5f0dda1cf375921caadaffdae6fa13d6de.png"/><Relationship Id="rId9" Type="http://schemas.openxmlformats.org/officeDocument/2006/relationships/image" Target="media/138f16e7aeff25f9b14c3fea0f70a306ddd6716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2026-09-12T15:38:01.480Z</dcterms:created>
  <dcterms:modified xsi:type="dcterms:W3CDTF">2026-09-12T15:38:01.489Z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