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4E2B" w14:textId="77777777" w:rsidR="0056603B" w:rsidRDefault="00000000">
      <w:pPr>
        <w:jc w:val="center"/>
      </w:pPr>
      <w:r>
        <w:rPr>
          <w:b/>
          <w:sz w:val="32"/>
        </w:rPr>
        <w:t>Response to Examiner and Adjudicator Required Amendments</w:t>
      </w:r>
    </w:p>
    <w:p w14:paraId="1C61B70B" w14:textId="77777777" w:rsidR="0056603B" w:rsidRDefault="00000000">
      <w:pPr>
        <w:jc w:val="center"/>
      </w:pPr>
      <w:r>
        <w:rPr>
          <w:b/>
          <w:sz w:val="24"/>
        </w:rPr>
        <w:t>Thesis Amendment Response Table</w:t>
      </w:r>
    </w:p>
    <w:p w14:paraId="6BB7D85E" w14:textId="77777777" w:rsidR="0056603B" w:rsidRDefault="00000000">
      <w:pPr>
        <w:jc w:val="center"/>
      </w:pPr>
      <w:r>
        <w:rPr>
          <w:i/>
        </w:rPr>
        <w:t>Thesis: Designing a Data-Driven Dynamic Congestion Pricing System for Auckland Using AI Forecasting, IoT-Simulated Data, and Backend Database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"/>
        <w:gridCol w:w="3644"/>
        <w:gridCol w:w="6775"/>
        <w:gridCol w:w="2004"/>
        <w:gridCol w:w="1550"/>
      </w:tblGrid>
      <w:tr w:rsidR="0056603B" w14:paraId="69BECED4" w14:textId="77777777">
        <w:trPr>
          <w:jc w:val="center"/>
        </w:trPr>
        <w:tc>
          <w:tcPr>
            <w:tcW w:w="504" w:type="dxa"/>
            <w:vAlign w:val="center"/>
          </w:tcPr>
          <w:p w14:paraId="06F470E8" w14:textId="77777777" w:rsidR="0056603B" w:rsidRDefault="00000000"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3960" w:type="dxa"/>
            <w:vAlign w:val="center"/>
          </w:tcPr>
          <w:p w14:paraId="6A9C3757" w14:textId="77777777" w:rsidR="0056603B" w:rsidRDefault="00000000">
            <w:pPr>
              <w:jc w:val="center"/>
            </w:pPr>
            <w:r>
              <w:rPr>
                <w:b/>
                <w:sz w:val="16"/>
              </w:rPr>
              <w:t>Examiner / Adjudicator Required Amendment</w:t>
            </w:r>
          </w:p>
        </w:tc>
        <w:tc>
          <w:tcPr>
            <w:tcW w:w="7560" w:type="dxa"/>
            <w:vAlign w:val="center"/>
          </w:tcPr>
          <w:p w14:paraId="0603F441" w14:textId="77777777" w:rsidR="0056603B" w:rsidRDefault="00000000">
            <w:pPr>
              <w:jc w:val="center"/>
            </w:pPr>
            <w:r>
              <w:rPr>
                <w:b/>
                <w:sz w:val="16"/>
              </w:rPr>
              <w:t>Changes Made in the Revised Thesis</w:t>
            </w:r>
          </w:p>
        </w:tc>
        <w:tc>
          <w:tcPr>
            <w:tcW w:w="2088" w:type="dxa"/>
            <w:vAlign w:val="center"/>
          </w:tcPr>
          <w:p w14:paraId="60BE0773" w14:textId="77777777" w:rsidR="0056603B" w:rsidRDefault="00000000">
            <w:pPr>
              <w:jc w:val="center"/>
            </w:pPr>
            <w:r>
              <w:rPr>
                <w:b/>
                <w:sz w:val="16"/>
              </w:rPr>
              <w:t>Main Location</w:t>
            </w:r>
          </w:p>
        </w:tc>
        <w:tc>
          <w:tcPr>
            <w:tcW w:w="1656" w:type="dxa"/>
            <w:vAlign w:val="center"/>
          </w:tcPr>
          <w:p w14:paraId="7530BC90" w14:textId="77777777" w:rsidR="0056603B" w:rsidRDefault="00000000"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</w:tr>
      <w:tr w:rsidR="0056603B" w14:paraId="3BBB5397" w14:textId="77777777">
        <w:trPr>
          <w:jc w:val="center"/>
        </w:trPr>
        <w:tc>
          <w:tcPr>
            <w:tcW w:w="504" w:type="dxa"/>
          </w:tcPr>
          <w:p w14:paraId="58119838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960" w:type="dxa"/>
          </w:tcPr>
          <w:p w14:paraId="36098A31" w14:textId="77777777" w:rsidR="0056603B" w:rsidRDefault="00000000">
            <w:pPr>
              <w:spacing w:after="20"/>
            </w:pPr>
            <w:r>
              <w:rPr>
                <w:sz w:val="15"/>
              </w:rPr>
              <w:t>Reframe the research questions and scope so the thesis does not claim observed or causal impact on Auckland traffic.</w:t>
            </w:r>
          </w:p>
        </w:tc>
        <w:tc>
          <w:tcPr>
            <w:tcW w:w="7560" w:type="dxa"/>
          </w:tcPr>
          <w:p w14:paraId="27073838" w14:textId="77777777" w:rsidR="0056603B" w:rsidRDefault="00000000">
            <w:pPr>
              <w:spacing w:after="20"/>
            </w:pPr>
            <w:r>
              <w:rPr>
                <w:sz w:val="15"/>
              </w:rPr>
              <w:t>Research questions, objectives, scope and conclusions were revised to frame the study as a simulation-based proof-of-concept. Demand and congestion changes are explicitly described as model-derived scenario estimates, not observed Auckland effects.</w:t>
            </w:r>
          </w:p>
        </w:tc>
        <w:tc>
          <w:tcPr>
            <w:tcW w:w="2088" w:type="dxa"/>
          </w:tcPr>
          <w:p w14:paraId="5B047B95" w14:textId="77777777" w:rsidR="0056603B" w:rsidRDefault="00000000">
            <w:pPr>
              <w:spacing w:after="20"/>
            </w:pPr>
            <w:r>
              <w:rPr>
                <w:sz w:val="15"/>
              </w:rPr>
              <w:t>Ch. 1; Ch. 4; Ch. 5; Abstract</w:t>
            </w:r>
          </w:p>
        </w:tc>
        <w:tc>
          <w:tcPr>
            <w:tcW w:w="1656" w:type="dxa"/>
          </w:tcPr>
          <w:p w14:paraId="5605E8A8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292935C1" w14:textId="77777777">
        <w:trPr>
          <w:jc w:val="center"/>
        </w:trPr>
        <w:tc>
          <w:tcPr>
            <w:tcW w:w="504" w:type="dxa"/>
          </w:tcPr>
          <w:p w14:paraId="1C82AA8A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960" w:type="dxa"/>
          </w:tcPr>
          <w:p w14:paraId="5BD52C13" w14:textId="77777777" w:rsidR="0056603B" w:rsidRDefault="00000000">
            <w:pPr>
              <w:spacing w:after="20"/>
            </w:pPr>
            <w:r>
              <w:rPr>
                <w:sz w:val="15"/>
              </w:rPr>
              <w:t>Clarify the actual research contribution and compare/position it against existing work.</w:t>
            </w:r>
          </w:p>
        </w:tc>
        <w:tc>
          <w:tcPr>
            <w:tcW w:w="7560" w:type="dxa"/>
          </w:tcPr>
          <w:p w14:paraId="1C08BABB" w14:textId="77777777" w:rsidR="0056603B" w:rsidRDefault="00000000">
            <w:pPr>
              <w:spacing w:after="20"/>
            </w:pPr>
            <w:r>
              <w:rPr>
                <w:sz w:val="15"/>
              </w:rPr>
              <w:t>The contribution was reframed. The thesis no longer claims a new forecasting algorithm or congestion-pricing theory; the contribution is integration of SUMO simulation, forecasting, dynamic pricing, behavioural modelling, MQTT and Gradio into a reproducible Auckland-oriented prototype.</w:t>
            </w:r>
          </w:p>
        </w:tc>
        <w:tc>
          <w:tcPr>
            <w:tcW w:w="2088" w:type="dxa"/>
          </w:tcPr>
          <w:p w14:paraId="15F06C02" w14:textId="77777777" w:rsidR="0056603B" w:rsidRDefault="00000000">
            <w:pPr>
              <w:spacing w:after="20"/>
            </w:pPr>
            <w:r>
              <w:rPr>
                <w:sz w:val="15"/>
              </w:rPr>
              <w:t>Ch. 1; Ch. 2; Ch. 5</w:t>
            </w:r>
          </w:p>
        </w:tc>
        <w:tc>
          <w:tcPr>
            <w:tcW w:w="1656" w:type="dxa"/>
          </w:tcPr>
          <w:p w14:paraId="436C348F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3C6CAD68" w14:textId="77777777">
        <w:trPr>
          <w:jc w:val="center"/>
        </w:trPr>
        <w:tc>
          <w:tcPr>
            <w:tcW w:w="504" w:type="dxa"/>
          </w:tcPr>
          <w:p w14:paraId="2D0004DB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960" w:type="dxa"/>
          </w:tcPr>
          <w:p w14:paraId="74C713EE" w14:textId="77777777" w:rsidR="0056603B" w:rsidRDefault="00000000">
            <w:pPr>
              <w:spacing w:after="20"/>
            </w:pPr>
            <w:r>
              <w:rPr>
                <w:sz w:val="15"/>
              </w:rPr>
              <w:t>Provide sufficient detail about the SUMO simulation configuration and reproducibility.</w:t>
            </w:r>
          </w:p>
        </w:tc>
        <w:tc>
          <w:tcPr>
            <w:tcW w:w="7560" w:type="dxa"/>
          </w:tcPr>
          <w:p w14:paraId="14549184" w14:textId="77777777" w:rsidR="0056603B" w:rsidRDefault="00000000">
            <w:pPr>
              <w:spacing w:after="20"/>
            </w:pPr>
            <w:r>
              <w:rPr>
                <w:sz w:val="15"/>
              </w:rPr>
              <w:t>Added/expanded SUMO Experimental Configuration and Reproducibility, documenting the Auckland-network-based simulation, 48-hour duration, 60-second edge statistics and processing pipeline.</w:t>
            </w:r>
          </w:p>
        </w:tc>
        <w:tc>
          <w:tcPr>
            <w:tcW w:w="2088" w:type="dxa"/>
          </w:tcPr>
          <w:p w14:paraId="0B5F38C4" w14:textId="77777777" w:rsidR="0056603B" w:rsidRDefault="00000000">
            <w:pPr>
              <w:spacing w:after="20"/>
            </w:pPr>
            <w:r>
              <w:rPr>
                <w:sz w:val="15"/>
              </w:rPr>
              <w:t>Sec. 3.2.1</w:t>
            </w:r>
          </w:p>
        </w:tc>
        <w:tc>
          <w:tcPr>
            <w:tcW w:w="1656" w:type="dxa"/>
          </w:tcPr>
          <w:p w14:paraId="5F117970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7E59B187" w14:textId="77777777">
        <w:trPr>
          <w:jc w:val="center"/>
        </w:trPr>
        <w:tc>
          <w:tcPr>
            <w:tcW w:w="504" w:type="dxa"/>
          </w:tcPr>
          <w:p w14:paraId="304541F4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960" w:type="dxa"/>
          </w:tcPr>
          <w:p w14:paraId="6BFFF8F1" w14:textId="77777777" w:rsidR="0056603B" w:rsidRDefault="00000000">
            <w:pPr>
              <w:spacing w:after="20"/>
            </w:pPr>
            <w:r>
              <w:rPr>
                <w:sz w:val="15"/>
              </w:rPr>
              <w:t>Clarify what the reported travel time represents.</w:t>
            </w:r>
          </w:p>
        </w:tc>
        <w:tc>
          <w:tcPr>
            <w:tcW w:w="7560" w:type="dxa"/>
          </w:tcPr>
          <w:p w14:paraId="55FE2472" w14:textId="77777777" w:rsidR="0056603B" w:rsidRDefault="00000000">
            <w:pPr>
              <w:spacing w:after="20"/>
            </w:pPr>
            <w:r>
              <w:rPr>
                <w:sz w:val="15"/>
              </w:rPr>
              <w:t>Terminology was corrected to explain that the principal variable is a simulation-derived aggregated edge-based corridor traffic-state indicator, rather than a calibrated real-world end-to-end Auckland corridor journey time.</w:t>
            </w:r>
          </w:p>
        </w:tc>
        <w:tc>
          <w:tcPr>
            <w:tcW w:w="2088" w:type="dxa"/>
          </w:tcPr>
          <w:p w14:paraId="11C8FCAA" w14:textId="77777777" w:rsidR="0056603B" w:rsidRDefault="00000000">
            <w:pPr>
              <w:spacing w:after="20"/>
            </w:pPr>
            <w:r>
              <w:rPr>
                <w:sz w:val="15"/>
              </w:rPr>
              <w:t>Ch. 3; Ch. 4; Scope</w:t>
            </w:r>
          </w:p>
        </w:tc>
        <w:tc>
          <w:tcPr>
            <w:tcW w:w="1656" w:type="dxa"/>
          </w:tcPr>
          <w:p w14:paraId="6691B1AA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58DEAA18" w14:textId="77777777">
        <w:trPr>
          <w:jc w:val="center"/>
        </w:trPr>
        <w:tc>
          <w:tcPr>
            <w:tcW w:w="504" w:type="dxa"/>
          </w:tcPr>
          <w:p w14:paraId="51FC8207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960" w:type="dxa"/>
          </w:tcPr>
          <w:p w14:paraId="5F15154B" w14:textId="77777777" w:rsidR="0056603B" w:rsidRDefault="00000000">
            <w:pPr>
              <w:spacing w:after="20"/>
            </w:pPr>
            <w:r>
              <w:rPr>
                <w:sz w:val="15"/>
              </w:rPr>
              <w:t>Explain treatment of inactive/invalid edges and temporal aggregation.</w:t>
            </w:r>
          </w:p>
        </w:tc>
        <w:tc>
          <w:tcPr>
            <w:tcW w:w="7560" w:type="dxa"/>
          </w:tcPr>
          <w:p w14:paraId="46DEB46A" w14:textId="77777777" w:rsidR="0056603B" w:rsidRDefault="00000000">
            <w:pPr>
              <w:spacing w:after="20"/>
            </w:pPr>
            <w:r>
              <w:rPr>
                <w:sz w:val="15"/>
              </w:rPr>
              <w:t>Added explicit methodology for invalid/inactive edge observations, 10-minute edge-level aggregation, temporal aggregation and construction of the aggregated traffic-state indicator.</w:t>
            </w:r>
          </w:p>
        </w:tc>
        <w:tc>
          <w:tcPr>
            <w:tcW w:w="2088" w:type="dxa"/>
          </w:tcPr>
          <w:p w14:paraId="68BC1C00" w14:textId="77777777" w:rsidR="0056603B" w:rsidRDefault="00000000">
            <w:pPr>
              <w:spacing w:after="20"/>
            </w:pPr>
            <w:r>
              <w:rPr>
                <w:sz w:val="15"/>
              </w:rPr>
              <w:t>Secs. 3.4.3-3.4.6</w:t>
            </w:r>
          </w:p>
        </w:tc>
        <w:tc>
          <w:tcPr>
            <w:tcW w:w="1656" w:type="dxa"/>
          </w:tcPr>
          <w:p w14:paraId="138B0F82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0BD77454" w14:textId="77777777">
        <w:trPr>
          <w:jc w:val="center"/>
        </w:trPr>
        <w:tc>
          <w:tcPr>
            <w:tcW w:w="504" w:type="dxa"/>
          </w:tcPr>
          <w:p w14:paraId="71303993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960" w:type="dxa"/>
          </w:tcPr>
          <w:p w14:paraId="621DBAF4" w14:textId="77777777" w:rsidR="0056603B" w:rsidRDefault="00000000">
            <w:pPr>
              <w:spacing w:after="20"/>
            </w:pPr>
            <w:r>
              <w:rPr>
                <w:sz w:val="15"/>
              </w:rPr>
              <w:t>Address methodological validity and possible data leakage.</w:t>
            </w:r>
          </w:p>
        </w:tc>
        <w:tc>
          <w:tcPr>
            <w:tcW w:w="7560" w:type="dxa"/>
          </w:tcPr>
          <w:p w14:paraId="299A1AE7" w14:textId="77777777" w:rsidR="0056603B" w:rsidRDefault="00000000">
            <w:pPr>
              <w:spacing w:after="20"/>
            </w:pPr>
            <w:r>
              <w:rPr>
                <w:sz w:val="15"/>
              </w:rPr>
              <w:t>Added Methodological Validity and Data Leakage Prevention. Chronological separation between training and held-out testing is explicitly documented.</w:t>
            </w:r>
          </w:p>
        </w:tc>
        <w:tc>
          <w:tcPr>
            <w:tcW w:w="2088" w:type="dxa"/>
          </w:tcPr>
          <w:p w14:paraId="1806D7DA" w14:textId="77777777" w:rsidR="0056603B" w:rsidRDefault="00000000">
            <w:pPr>
              <w:spacing w:after="20"/>
            </w:pPr>
            <w:r>
              <w:rPr>
                <w:sz w:val="15"/>
              </w:rPr>
              <w:t>Sec. 3.4.9</w:t>
            </w:r>
          </w:p>
        </w:tc>
        <w:tc>
          <w:tcPr>
            <w:tcW w:w="1656" w:type="dxa"/>
          </w:tcPr>
          <w:p w14:paraId="5993880E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6356EDC0" w14:textId="77777777">
        <w:trPr>
          <w:jc w:val="center"/>
        </w:trPr>
        <w:tc>
          <w:tcPr>
            <w:tcW w:w="504" w:type="dxa"/>
          </w:tcPr>
          <w:p w14:paraId="63967BED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3960" w:type="dxa"/>
          </w:tcPr>
          <w:p w14:paraId="1F1D22E5" w14:textId="77777777" w:rsidR="0056603B" w:rsidRDefault="00000000">
            <w:pPr>
              <w:spacing w:after="20"/>
            </w:pPr>
            <w:r>
              <w:rPr>
                <w:sz w:val="15"/>
              </w:rPr>
              <w:t>Ensure all forecasting models are evaluated on the same test period.</w:t>
            </w:r>
          </w:p>
        </w:tc>
        <w:tc>
          <w:tcPr>
            <w:tcW w:w="7560" w:type="dxa"/>
          </w:tcPr>
          <w:p w14:paraId="3BD05EF8" w14:textId="77777777" w:rsidR="0056603B" w:rsidRDefault="00000000">
            <w:pPr>
              <w:spacing w:after="20"/>
            </w:pPr>
            <w:r>
              <w:rPr>
                <w:sz w:val="15"/>
              </w:rPr>
              <w:t>Forecasting evaluation was rebuilt so Naive Persistence, ARIMA, XGBoost and LSTM are all evaluated on the same 58-observation chronological held-out test set.</w:t>
            </w:r>
          </w:p>
        </w:tc>
        <w:tc>
          <w:tcPr>
            <w:tcW w:w="2088" w:type="dxa"/>
          </w:tcPr>
          <w:p w14:paraId="43D81747" w14:textId="77777777" w:rsidR="0056603B" w:rsidRDefault="00000000">
            <w:pPr>
              <w:spacing w:after="20"/>
            </w:pPr>
            <w:r>
              <w:rPr>
                <w:sz w:val="15"/>
              </w:rPr>
              <w:t>Ch. 3; Sec. 4.3</w:t>
            </w:r>
          </w:p>
        </w:tc>
        <w:tc>
          <w:tcPr>
            <w:tcW w:w="1656" w:type="dxa"/>
          </w:tcPr>
          <w:p w14:paraId="5401C7B3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4F1A4826" w14:textId="77777777">
        <w:trPr>
          <w:jc w:val="center"/>
        </w:trPr>
        <w:tc>
          <w:tcPr>
            <w:tcW w:w="504" w:type="dxa"/>
          </w:tcPr>
          <w:p w14:paraId="18EBC2C8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3960" w:type="dxa"/>
          </w:tcPr>
          <w:p w14:paraId="279C38F1" w14:textId="77777777" w:rsidR="0056603B" w:rsidRDefault="00000000">
            <w:pPr>
              <w:spacing w:after="20"/>
            </w:pPr>
            <w:r>
              <w:rPr>
                <w:sz w:val="15"/>
              </w:rPr>
              <w:t>Include an appropriate naive forecasting baseline.</w:t>
            </w:r>
          </w:p>
        </w:tc>
        <w:tc>
          <w:tcPr>
            <w:tcW w:w="7560" w:type="dxa"/>
          </w:tcPr>
          <w:p w14:paraId="2F413790" w14:textId="77777777" w:rsidR="0056603B" w:rsidRDefault="00000000">
            <w:pPr>
              <w:spacing w:after="20"/>
            </w:pPr>
            <w:r>
              <w:rPr>
                <w:sz w:val="15"/>
              </w:rPr>
              <w:t>Added a Naive Persistence baseline with MAE = 0.2453 s and RMSE = 0.3425 s, evaluated on the same 58 observations.</w:t>
            </w:r>
          </w:p>
        </w:tc>
        <w:tc>
          <w:tcPr>
            <w:tcW w:w="2088" w:type="dxa"/>
          </w:tcPr>
          <w:p w14:paraId="73FD6A1F" w14:textId="77777777" w:rsidR="0056603B" w:rsidRDefault="00000000">
            <w:pPr>
              <w:spacing w:after="20"/>
            </w:pPr>
            <w:r>
              <w:rPr>
                <w:sz w:val="15"/>
              </w:rPr>
              <w:t>Sec. 4.3.4; forecasting comparison table</w:t>
            </w:r>
          </w:p>
        </w:tc>
        <w:tc>
          <w:tcPr>
            <w:tcW w:w="1656" w:type="dxa"/>
          </w:tcPr>
          <w:p w14:paraId="5BDD2D28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307E397B" w14:textId="77777777">
        <w:trPr>
          <w:jc w:val="center"/>
        </w:trPr>
        <w:tc>
          <w:tcPr>
            <w:tcW w:w="504" w:type="dxa"/>
          </w:tcPr>
          <w:p w14:paraId="3E4EB3DE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3960" w:type="dxa"/>
          </w:tcPr>
          <w:p w14:paraId="6C573239" w14:textId="77777777" w:rsidR="0056603B" w:rsidRDefault="00000000">
            <w:pPr>
              <w:spacing w:after="20"/>
            </w:pPr>
            <w:r>
              <w:rPr>
                <w:sz w:val="15"/>
              </w:rPr>
              <w:t>Correct the ARIMA/LSTM comparison and avoid claiming equivalence from rounded results.</w:t>
            </w:r>
          </w:p>
        </w:tc>
        <w:tc>
          <w:tcPr>
            <w:tcW w:w="7560" w:type="dxa"/>
          </w:tcPr>
          <w:p w14:paraId="682EA818" w14:textId="77777777" w:rsidR="0056603B" w:rsidRDefault="00000000">
            <w:pPr>
              <w:spacing w:after="20"/>
            </w:pPr>
            <w:r>
              <w:rPr>
                <w:sz w:val="15"/>
              </w:rPr>
              <w:t>Results are now reported at greater precision. ARIMA = MAE 0.1954, RMSE 0.2508; LSTM = MAE 0.1962, RMSE 0.2602. The thesis no longer claims statistical equivalence.</w:t>
            </w:r>
          </w:p>
        </w:tc>
        <w:tc>
          <w:tcPr>
            <w:tcW w:w="2088" w:type="dxa"/>
          </w:tcPr>
          <w:p w14:paraId="60F3966E" w14:textId="77777777" w:rsidR="0056603B" w:rsidRDefault="00000000">
            <w:pPr>
              <w:spacing w:after="20"/>
            </w:pPr>
            <w:r>
              <w:rPr>
                <w:sz w:val="15"/>
              </w:rPr>
              <w:t>Secs. 4.3-4.3.5</w:t>
            </w:r>
          </w:p>
        </w:tc>
        <w:tc>
          <w:tcPr>
            <w:tcW w:w="1656" w:type="dxa"/>
          </w:tcPr>
          <w:p w14:paraId="7BDEE182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72AEB021" w14:textId="77777777">
        <w:trPr>
          <w:jc w:val="center"/>
        </w:trPr>
        <w:tc>
          <w:tcPr>
            <w:tcW w:w="504" w:type="dxa"/>
          </w:tcPr>
          <w:p w14:paraId="756FE3E5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3960" w:type="dxa"/>
          </w:tcPr>
          <w:p w14:paraId="6086BB94" w14:textId="77777777" w:rsidR="0056603B" w:rsidRDefault="00000000">
            <w:pPr>
              <w:spacing w:after="20"/>
            </w:pPr>
            <w:r>
              <w:rPr>
                <w:sz w:val="15"/>
              </w:rPr>
              <w:t>Correct the interpretation of XGBoost performance.</w:t>
            </w:r>
          </w:p>
        </w:tc>
        <w:tc>
          <w:tcPr>
            <w:tcW w:w="7560" w:type="dxa"/>
          </w:tcPr>
          <w:p w14:paraId="2BD7127B" w14:textId="77777777" w:rsidR="0056603B" w:rsidRDefault="00000000">
            <w:pPr>
              <w:spacing w:after="20"/>
            </w:pPr>
            <w:r>
              <w:rPr>
                <w:sz w:val="15"/>
              </w:rPr>
              <w:t>XGBoost is correctly reported as MAE 0.2494 s and RMSE 0.3235 s, and the discussion no longer incorrectly positions it as outperforming ARIMA/LSTM.</w:t>
            </w:r>
          </w:p>
        </w:tc>
        <w:tc>
          <w:tcPr>
            <w:tcW w:w="2088" w:type="dxa"/>
          </w:tcPr>
          <w:p w14:paraId="74ECB9DE" w14:textId="77777777" w:rsidR="0056603B" w:rsidRDefault="00000000">
            <w:pPr>
              <w:spacing w:after="20"/>
            </w:pPr>
            <w:r>
              <w:rPr>
                <w:sz w:val="15"/>
              </w:rPr>
              <w:t>Sec. 4.3</w:t>
            </w:r>
          </w:p>
        </w:tc>
        <w:tc>
          <w:tcPr>
            <w:tcW w:w="1656" w:type="dxa"/>
          </w:tcPr>
          <w:p w14:paraId="38A37AE7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3B707B27" w14:textId="77777777">
        <w:trPr>
          <w:jc w:val="center"/>
        </w:trPr>
        <w:tc>
          <w:tcPr>
            <w:tcW w:w="504" w:type="dxa"/>
          </w:tcPr>
          <w:p w14:paraId="32A7D561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3960" w:type="dxa"/>
          </w:tcPr>
          <w:p w14:paraId="6BB1B996" w14:textId="77777777" w:rsidR="0056603B" w:rsidRDefault="00000000">
            <w:pPr>
              <w:spacing w:after="20"/>
            </w:pPr>
            <w:r>
              <w:rPr>
                <w:sz w:val="15"/>
              </w:rPr>
              <w:t>Strengthen forecasting methodology/model specification.</w:t>
            </w:r>
          </w:p>
        </w:tc>
        <w:tc>
          <w:tcPr>
            <w:tcW w:w="7560" w:type="dxa"/>
          </w:tcPr>
          <w:p w14:paraId="1C29970C" w14:textId="77777777" w:rsidR="0056603B" w:rsidRDefault="00000000">
            <w:pPr>
              <w:spacing w:after="20"/>
            </w:pPr>
            <w:r>
              <w:rPr>
                <w:sz w:val="15"/>
              </w:rPr>
              <w:t>ARIMA, XGBoost and LSTM methodology was expanded to explain model configuration, features/sequences, training and evaluation more clearly.</w:t>
            </w:r>
          </w:p>
        </w:tc>
        <w:tc>
          <w:tcPr>
            <w:tcW w:w="2088" w:type="dxa"/>
          </w:tcPr>
          <w:p w14:paraId="02945C0A" w14:textId="77777777" w:rsidR="0056603B" w:rsidRDefault="00000000">
            <w:pPr>
              <w:spacing w:after="20"/>
            </w:pPr>
            <w:r>
              <w:rPr>
                <w:sz w:val="15"/>
              </w:rPr>
              <w:t>Ch. 3</w:t>
            </w:r>
          </w:p>
        </w:tc>
        <w:tc>
          <w:tcPr>
            <w:tcW w:w="1656" w:type="dxa"/>
          </w:tcPr>
          <w:p w14:paraId="109B9359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10D30E0E" w14:textId="77777777">
        <w:trPr>
          <w:jc w:val="center"/>
        </w:trPr>
        <w:tc>
          <w:tcPr>
            <w:tcW w:w="504" w:type="dxa"/>
          </w:tcPr>
          <w:p w14:paraId="65314C06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3960" w:type="dxa"/>
          </w:tcPr>
          <w:p w14:paraId="2F3E7F9C" w14:textId="77777777" w:rsidR="0056603B" w:rsidRDefault="00000000">
            <w:pPr>
              <w:spacing w:after="20"/>
            </w:pPr>
            <w:r>
              <w:rPr>
                <w:sz w:val="15"/>
              </w:rPr>
              <w:t>Correct free-flow calculation and avoid test-data leakage.</w:t>
            </w:r>
          </w:p>
        </w:tc>
        <w:tc>
          <w:tcPr>
            <w:tcW w:w="7560" w:type="dxa"/>
          </w:tcPr>
          <w:p w14:paraId="0BB26010" w14:textId="77777777" w:rsidR="0056603B" w:rsidRDefault="00000000">
            <w:pPr>
              <w:spacing w:after="20"/>
            </w:pPr>
            <w:r>
              <w:rPr>
                <w:sz w:val="15"/>
              </w:rPr>
              <w:t>The final free-flow reference is 1.3140 s, calculated from the 5th percentile of the 229 training observations only. Held-out observations are not used to derive this parameter.</w:t>
            </w:r>
          </w:p>
        </w:tc>
        <w:tc>
          <w:tcPr>
            <w:tcW w:w="2088" w:type="dxa"/>
          </w:tcPr>
          <w:p w14:paraId="551BF7DD" w14:textId="77777777" w:rsidR="0056603B" w:rsidRDefault="00000000">
            <w:pPr>
              <w:spacing w:after="20"/>
            </w:pPr>
            <w:r>
              <w:rPr>
                <w:sz w:val="15"/>
              </w:rPr>
              <w:t>Ch. 3; Sec. 4.4</w:t>
            </w:r>
          </w:p>
        </w:tc>
        <w:tc>
          <w:tcPr>
            <w:tcW w:w="1656" w:type="dxa"/>
          </w:tcPr>
          <w:p w14:paraId="2D00C003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60CDEDCE" w14:textId="77777777">
        <w:trPr>
          <w:jc w:val="center"/>
        </w:trPr>
        <w:tc>
          <w:tcPr>
            <w:tcW w:w="504" w:type="dxa"/>
          </w:tcPr>
          <w:p w14:paraId="0BCEF632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3960" w:type="dxa"/>
          </w:tcPr>
          <w:p w14:paraId="1DC79E1A" w14:textId="77777777" w:rsidR="0056603B" w:rsidRDefault="00000000">
            <w:pPr>
              <w:spacing w:after="20"/>
            </w:pPr>
            <w:r>
              <w:rPr>
                <w:sz w:val="15"/>
              </w:rPr>
              <w:t>Clarify how forecasting results feed into the pricing model.</w:t>
            </w:r>
          </w:p>
        </w:tc>
        <w:tc>
          <w:tcPr>
            <w:tcW w:w="7560" w:type="dxa"/>
          </w:tcPr>
          <w:p w14:paraId="0E091F4B" w14:textId="77777777" w:rsidR="0056603B" w:rsidRDefault="00000000">
            <w:pPr>
              <w:spacing w:after="20"/>
            </w:pPr>
            <w:r>
              <w:rPr>
                <w:sz w:val="15"/>
              </w:rPr>
              <w:t>The final pricing experiment explicitly uses the 58 held-out ARIMA forecasts as input to congestion-index and dynamic-toll calculations.</w:t>
            </w:r>
          </w:p>
        </w:tc>
        <w:tc>
          <w:tcPr>
            <w:tcW w:w="2088" w:type="dxa"/>
          </w:tcPr>
          <w:p w14:paraId="0F023D8A" w14:textId="77777777" w:rsidR="0056603B" w:rsidRDefault="00000000">
            <w:pPr>
              <w:spacing w:after="20"/>
            </w:pPr>
            <w:r>
              <w:rPr>
                <w:sz w:val="15"/>
              </w:rPr>
              <w:t>Sec. 4.4; workflow figures</w:t>
            </w:r>
          </w:p>
        </w:tc>
        <w:tc>
          <w:tcPr>
            <w:tcW w:w="1656" w:type="dxa"/>
          </w:tcPr>
          <w:p w14:paraId="63FFA0EF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13EBFB4A" w14:textId="77777777">
        <w:trPr>
          <w:jc w:val="center"/>
        </w:trPr>
        <w:tc>
          <w:tcPr>
            <w:tcW w:w="504" w:type="dxa"/>
          </w:tcPr>
          <w:p w14:paraId="5728D0C6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3960" w:type="dxa"/>
          </w:tcPr>
          <w:p w14:paraId="53DE2D12" w14:textId="77777777" w:rsidR="0056603B" w:rsidRDefault="00000000">
            <w:pPr>
              <w:spacing w:after="20"/>
            </w:pPr>
            <w:r>
              <w:rPr>
                <w:sz w:val="15"/>
              </w:rPr>
              <w:t>Clarify and justify the congestion-pricing equations/parameters.</w:t>
            </w:r>
          </w:p>
        </w:tc>
        <w:tc>
          <w:tcPr>
            <w:tcW w:w="7560" w:type="dxa"/>
          </w:tcPr>
          <w:p w14:paraId="0D73F005" w14:textId="77777777" w:rsidR="0056603B" w:rsidRDefault="00000000">
            <w:pPr>
              <w:spacing w:after="20"/>
            </w:pPr>
            <w:r>
              <w:rPr>
                <w:sz w:val="15"/>
              </w:rPr>
              <w:t>Pricing thresholds, minimum/mid/capped toll values and congestion-index logic are explicitly described as configurable proof-of-concept scenario assumptions, rather than calibrated Auckland policy settings.</w:t>
            </w:r>
          </w:p>
        </w:tc>
        <w:tc>
          <w:tcPr>
            <w:tcW w:w="2088" w:type="dxa"/>
          </w:tcPr>
          <w:p w14:paraId="33CBB98C" w14:textId="77777777" w:rsidR="0056603B" w:rsidRDefault="00000000">
            <w:pPr>
              <w:spacing w:after="20"/>
            </w:pPr>
            <w:r>
              <w:rPr>
                <w:sz w:val="15"/>
              </w:rPr>
              <w:t>Ch. 3; Sec. 4.4</w:t>
            </w:r>
          </w:p>
        </w:tc>
        <w:tc>
          <w:tcPr>
            <w:tcW w:w="1656" w:type="dxa"/>
          </w:tcPr>
          <w:p w14:paraId="2999FF83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70BD588B" w14:textId="77777777">
        <w:trPr>
          <w:jc w:val="center"/>
        </w:trPr>
        <w:tc>
          <w:tcPr>
            <w:tcW w:w="504" w:type="dxa"/>
          </w:tcPr>
          <w:p w14:paraId="5F141049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3960" w:type="dxa"/>
          </w:tcPr>
          <w:p w14:paraId="1FC1A886" w14:textId="77777777" w:rsidR="0056603B" w:rsidRDefault="00000000">
            <w:pPr>
              <w:spacing w:after="20"/>
            </w:pPr>
            <w:r>
              <w:rPr>
                <w:sz w:val="15"/>
              </w:rPr>
              <w:t>Correct percentage/calculation inconsistencies identified in the previous pricing table.</w:t>
            </w:r>
          </w:p>
        </w:tc>
        <w:tc>
          <w:tcPr>
            <w:tcW w:w="7560" w:type="dxa"/>
          </w:tcPr>
          <w:p w14:paraId="636AD4A6" w14:textId="77777777" w:rsidR="0056603B" w:rsidRDefault="00000000">
            <w:pPr>
              <w:spacing w:after="20"/>
            </w:pPr>
            <w:r>
              <w:rPr>
                <w:sz w:val="15"/>
              </w:rPr>
              <w:t>Pricing outputs and percentage calculations were regenerated from the corrected held-out pipeline, replacing the previous inconsistent values.</w:t>
            </w:r>
          </w:p>
        </w:tc>
        <w:tc>
          <w:tcPr>
            <w:tcW w:w="2088" w:type="dxa"/>
          </w:tcPr>
          <w:p w14:paraId="146CD872" w14:textId="77777777" w:rsidR="0056603B" w:rsidRDefault="00000000">
            <w:pPr>
              <w:spacing w:after="20"/>
            </w:pPr>
            <w:r>
              <w:rPr>
                <w:sz w:val="15"/>
              </w:rPr>
              <w:t>Sec. 4.4 and associated tables</w:t>
            </w:r>
          </w:p>
        </w:tc>
        <w:tc>
          <w:tcPr>
            <w:tcW w:w="1656" w:type="dxa"/>
          </w:tcPr>
          <w:p w14:paraId="2EB855B9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67475008" w14:textId="77777777">
        <w:trPr>
          <w:jc w:val="center"/>
        </w:trPr>
        <w:tc>
          <w:tcPr>
            <w:tcW w:w="504" w:type="dxa"/>
          </w:tcPr>
          <w:p w14:paraId="2AFAD17F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3960" w:type="dxa"/>
          </w:tcPr>
          <w:p w14:paraId="7343B87F" w14:textId="77777777" w:rsidR="0056603B" w:rsidRDefault="00000000">
            <w:pPr>
              <w:spacing w:after="20"/>
            </w:pPr>
            <w:r>
              <w:rPr>
                <w:sz w:val="15"/>
              </w:rPr>
              <w:t>Do not present the previous NZD 529.47 figure as actual revenue.</w:t>
            </w:r>
          </w:p>
        </w:tc>
        <w:tc>
          <w:tcPr>
            <w:tcW w:w="7560" w:type="dxa"/>
          </w:tcPr>
          <w:p w14:paraId="0809C54B" w14:textId="77777777" w:rsidR="0056603B" w:rsidRDefault="00000000">
            <w:pPr>
              <w:spacing w:after="20"/>
            </w:pPr>
            <w:r>
              <w:rPr>
                <w:sz w:val="15"/>
              </w:rPr>
              <w:t>The previous revenue interpretation was removed. The corrected result is a cumulative toll-index sum of NZD 121.1389 under one-unit-per-interval normalisation, explicitly stated as not actual revenue.</w:t>
            </w:r>
          </w:p>
        </w:tc>
        <w:tc>
          <w:tcPr>
            <w:tcW w:w="2088" w:type="dxa"/>
          </w:tcPr>
          <w:p w14:paraId="79E28A1C" w14:textId="77777777" w:rsidR="0056603B" w:rsidRDefault="00000000">
            <w:pPr>
              <w:spacing w:after="20"/>
            </w:pPr>
            <w:r>
              <w:rPr>
                <w:sz w:val="15"/>
              </w:rPr>
              <w:t>Sec. 4.4</w:t>
            </w:r>
          </w:p>
        </w:tc>
        <w:tc>
          <w:tcPr>
            <w:tcW w:w="1656" w:type="dxa"/>
          </w:tcPr>
          <w:p w14:paraId="02D95966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333A2B9C" w14:textId="77777777">
        <w:trPr>
          <w:jc w:val="center"/>
        </w:trPr>
        <w:tc>
          <w:tcPr>
            <w:tcW w:w="504" w:type="dxa"/>
          </w:tcPr>
          <w:p w14:paraId="35D622AB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3960" w:type="dxa"/>
          </w:tcPr>
          <w:p w14:paraId="72FCC9D8" w14:textId="77777777" w:rsidR="0056603B" w:rsidRDefault="00000000">
            <w:pPr>
              <w:spacing w:after="20"/>
            </w:pPr>
            <w:r>
              <w:rPr>
                <w:sz w:val="15"/>
              </w:rPr>
              <w:t>Reconcile inconsistent observation/interval counts such as 287, 286 and 288.</w:t>
            </w:r>
          </w:p>
        </w:tc>
        <w:tc>
          <w:tcPr>
            <w:tcW w:w="7560" w:type="dxa"/>
          </w:tcPr>
          <w:p w14:paraId="66D8477F" w14:textId="77777777" w:rsidR="0056603B" w:rsidRDefault="00000000">
            <w:pPr>
              <w:spacing w:after="20"/>
            </w:pPr>
            <w:r>
              <w:rPr>
                <w:sz w:val="15"/>
              </w:rPr>
              <w:t>The data stages are now distinguished clearly: 287 labelled observations, 229 training observations, and 58 held-out test/pricing intervals. Final pricing evaluation is based only on the common 58-observation test set.</w:t>
            </w:r>
          </w:p>
        </w:tc>
        <w:tc>
          <w:tcPr>
            <w:tcW w:w="2088" w:type="dxa"/>
          </w:tcPr>
          <w:p w14:paraId="123BBFDC" w14:textId="77777777" w:rsidR="0056603B" w:rsidRDefault="00000000">
            <w:pPr>
              <w:spacing w:after="20"/>
            </w:pPr>
            <w:r>
              <w:rPr>
                <w:sz w:val="15"/>
              </w:rPr>
              <w:t>Ch. 3; Ch. 4</w:t>
            </w:r>
          </w:p>
        </w:tc>
        <w:tc>
          <w:tcPr>
            <w:tcW w:w="1656" w:type="dxa"/>
          </w:tcPr>
          <w:p w14:paraId="193C23E8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23E1B2B5" w14:textId="77777777">
        <w:trPr>
          <w:jc w:val="center"/>
        </w:trPr>
        <w:tc>
          <w:tcPr>
            <w:tcW w:w="504" w:type="dxa"/>
          </w:tcPr>
          <w:p w14:paraId="59A7DF94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w="3960" w:type="dxa"/>
          </w:tcPr>
          <w:p w14:paraId="18391DCA" w14:textId="77777777" w:rsidR="0056603B" w:rsidRDefault="00000000">
            <w:pPr>
              <w:spacing w:after="20"/>
            </w:pPr>
            <w:r>
              <w:rPr>
                <w:sz w:val="15"/>
              </w:rPr>
              <w:t>Correct/clarify the demand-response analysis.</w:t>
            </w:r>
          </w:p>
        </w:tc>
        <w:tc>
          <w:tcPr>
            <w:tcW w:w="7560" w:type="dxa"/>
          </w:tcPr>
          <w:p w14:paraId="62388CDF" w14:textId="77777777" w:rsidR="0056603B" w:rsidRDefault="00000000">
            <w:pPr>
              <w:spacing w:after="20"/>
            </w:pPr>
            <w:r>
              <w:rPr>
                <w:sz w:val="15"/>
              </w:rPr>
              <w:t>Demand-response results were regenerated from the final held-out pricing scenario. Corrected average = 4.1772% and maximum = 5.0518%. They are explicitly labelled scenario-estimated, not observed behaviour.</w:t>
            </w:r>
          </w:p>
        </w:tc>
        <w:tc>
          <w:tcPr>
            <w:tcW w:w="2088" w:type="dxa"/>
          </w:tcPr>
          <w:p w14:paraId="2E813396" w14:textId="77777777" w:rsidR="0056603B" w:rsidRDefault="00000000">
            <w:pPr>
              <w:spacing w:after="20"/>
            </w:pPr>
            <w:r>
              <w:rPr>
                <w:sz w:val="15"/>
              </w:rPr>
              <w:t>Sec. 4.5</w:t>
            </w:r>
          </w:p>
        </w:tc>
        <w:tc>
          <w:tcPr>
            <w:tcW w:w="1656" w:type="dxa"/>
          </w:tcPr>
          <w:p w14:paraId="2DA4BC8A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3D7AC6FC" w14:textId="77777777">
        <w:trPr>
          <w:jc w:val="center"/>
        </w:trPr>
        <w:tc>
          <w:tcPr>
            <w:tcW w:w="504" w:type="dxa"/>
          </w:tcPr>
          <w:p w14:paraId="2491828D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3960" w:type="dxa"/>
          </w:tcPr>
          <w:p w14:paraId="7D4A28EB" w14:textId="77777777" w:rsidR="0056603B" w:rsidRDefault="00000000">
            <w:pPr>
              <w:spacing w:after="20"/>
            </w:pPr>
            <w:r>
              <w:rPr>
                <w:sz w:val="15"/>
              </w:rPr>
              <w:t>Correct/clarify the congestion-feedback analysis.</w:t>
            </w:r>
          </w:p>
        </w:tc>
        <w:tc>
          <w:tcPr>
            <w:tcW w:w="7560" w:type="dxa"/>
          </w:tcPr>
          <w:p w14:paraId="2110CD70" w14:textId="77777777" w:rsidR="0056603B" w:rsidRDefault="00000000">
            <w:pPr>
              <w:spacing w:after="20"/>
            </w:pPr>
            <w:r>
              <w:rPr>
                <w:sz w:val="15"/>
              </w:rPr>
              <w:t>Feedback analysis was regenerated. Corrected average traffic-state reduction = 3.3418%, maximum = 4.0414%. It is described as a model-derived scenario estimate, not measured causal congestion reduction.</w:t>
            </w:r>
          </w:p>
        </w:tc>
        <w:tc>
          <w:tcPr>
            <w:tcW w:w="2088" w:type="dxa"/>
          </w:tcPr>
          <w:p w14:paraId="1CA60427" w14:textId="77777777" w:rsidR="0056603B" w:rsidRDefault="00000000">
            <w:pPr>
              <w:spacing w:after="20"/>
            </w:pPr>
            <w:r>
              <w:rPr>
                <w:sz w:val="15"/>
              </w:rPr>
              <w:t>Sec. 4.6</w:t>
            </w:r>
          </w:p>
        </w:tc>
        <w:tc>
          <w:tcPr>
            <w:tcW w:w="1656" w:type="dxa"/>
          </w:tcPr>
          <w:p w14:paraId="27FA0411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5372EB67" w14:textId="77777777">
        <w:trPr>
          <w:jc w:val="center"/>
        </w:trPr>
        <w:tc>
          <w:tcPr>
            <w:tcW w:w="504" w:type="dxa"/>
          </w:tcPr>
          <w:p w14:paraId="2A307DFA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lastRenderedPageBreak/>
              <w:t>20</w:t>
            </w:r>
          </w:p>
        </w:tc>
        <w:tc>
          <w:tcPr>
            <w:tcW w:w="3960" w:type="dxa"/>
          </w:tcPr>
          <w:p w14:paraId="215D9DCA" w14:textId="77777777" w:rsidR="0056603B" w:rsidRDefault="00000000">
            <w:pPr>
              <w:spacing w:after="20"/>
            </w:pPr>
            <w:r>
              <w:rPr>
                <w:sz w:val="15"/>
              </w:rPr>
              <w:t>Align the Abstract with what was actually implemented and demonstrated.</w:t>
            </w:r>
          </w:p>
        </w:tc>
        <w:tc>
          <w:tcPr>
            <w:tcW w:w="7560" w:type="dxa"/>
          </w:tcPr>
          <w:p w14:paraId="1F7B0A2E" w14:textId="77777777" w:rsidR="0056603B" w:rsidRDefault="00000000">
            <w:pPr>
              <w:spacing w:after="20"/>
            </w:pPr>
            <w:r>
              <w:rPr>
                <w:sz w:val="15"/>
              </w:rPr>
              <w:t>Abstract was substantially rewritten to report the corrected common test results, training-only free-flow calculation, held-out pricing evaluation and scenario-derived demand/traffic-state outputs. It explicitly states these are not observed Auckland effects.</w:t>
            </w:r>
          </w:p>
        </w:tc>
        <w:tc>
          <w:tcPr>
            <w:tcW w:w="2088" w:type="dxa"/>
          </w:tcPr>
          <w:p w14:paraId="4E42383D" w14:textId="77777777" w:rsidR="0056603B" w:rsidRDefault="00000000">
            <w:pPr>
              <w:spacing w:after="20"/>
            </w:pPr>
            <w:r>
              <w:rPr>
                <w:sz w:val="15"/>
              </w:rPr>
              <w:t>Abstract</w:t>
            </w:r>
          </w:p>
        </w:tc>
        <w:tc>
          <w:tcPr>
            <w:tcW w:w="1656" w:type="dxa"/>
          </w:tcPr>
          <w:p w14:paraId="5D745878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1B56D613" w14:textId="77777777">
        <w:trPr>
          <w:jc w:val="center"/>
        </w:trPr>
        <w:tc>
          <w:tcPr>
            <w:tcW w:w="504" w:type="dxa"/>
          </w:tcPr>
          <w:p w14:paraId="7ABDB943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3960" w:type="dxa"/>
          </w:tcPr>
          <w:p w14:paraId="5B79404A" w14:textId="77777777" w:rsidR="0056603B" w:rsidRDefault="00000000">
            <w:pPr>
              <w:spacing w:after="20"/>
            </w:pPr>
            <w:r>
              <w:rPr>
                <w:sz w:val="15"/>
              </w:rPr>
              <w:t>Remove excessive causal/policy claims from the thesis.</w:t>
            </w:r>
          </w:p>
        </w:tc>
        <w:tc>
          <w:tcPr>
            <w:tcW w:w="7560" w:type="dxa"/>
          </w:tcPr>
          <w:p w14:paraId="55A447F3" w14:textId="77777777" w:rsidR="0056603B" w:rsidRDefault="00000000">
            <w:pPr>
              <w:spacing w:after="20"/>
            </w:pPr>
            <w:r>
              <w:rPr>
                <w:sz w:val="15"/>
              </w:rPr>
              <w:t>Terminology was revised throughout from claims such as actual impact/effectiveness/reduction to estimated, scenario-derived, simulation-derived, proof-of-concept, and under stated assumptions where appropriate.</w:t>
            </w:r>
          </w:p>
        </w:tc>
        <w:tc>
          <w:tcPr>
            <w:tcW w:w="2088" w:type="dxa"/>
          </w:tcPr>
          <w:p w14:paraId="1A6912CA" w14:textId="77777777" w:rsidR="0056603B" w:rsidRDefault="00000000">
            <w:pPr>
              <w:spacing w:after="20"/>
            </w:pPr>
            <w:r>
              <w:rPr>
                <w:sz w:val="15"/>
              </w:rPr>
              <w:t>Throughout thesis</w:t>
            </w:r>
          </w:p>
        </w:tc>
        <w:tc>
          <w:tcPr>
            <w:tcW w:w="1656" w:type="dxa"/>
          </w:tcPr>
          <w:p w14:paraId="4C029D3C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2A5AFC6D" w14:textId="77777777">
        <w:trPr>
          <w:jc w:val="center"/>
        </w:trPr>
        <w:tc>
          <w:tcPr>
            <w:tcW w:w="504" w:type="dxa"/>
          </w:tcPr>
          <w:p w14:paraId="6D5F511F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w="3960" w:type="dxa"/>
          </w:tcPr>
          <w:p w14:paraId="7CB7F144" w14:textId="77777777" w:rsidR="0056603B" w:rsidRDefault="00000000">
            <w:pPr>
              <w:spacing w:after="20"/>
            </w:pPr>
            <w:r>
              <w:rPr>
                <w:sz w:val="15"/>
              </w:rPr>
              <w:t>Clarify MQTT/IoT implementation and avoid implying live Auckland sensor deployment.</w:t>
            </w:r>
          </w:p>
        </w:tc>
        <w:tc>
          <w:tcPr>
            <w:tcW w:w="7560" w:type="dxa"/>
          </w:tcPr>
          <w:p w14:paraId="37AFCA32" w14:textId="77777777" w:rsidR="0056603B" w:rsidRDefault="00000000">
            <w:pPr>
              <w:spacing w:after="20"/>
            </w:pPr>
            <w:r>
              <w:rPr>
                <w:sz w:val="15"/>
              </w:rPr>
              <w:t>MQTT is now described as a local proof-of-concept publish-subscribe communication layer. Final held-out ARIMA/pricing scenario outputs are published through a local Mosquitto broker and received by the subscriber.</w:t>
            </w:r>
          </w:p>
        </w:tc>
        <w:tc>
          <w:tcPr>
            <w:tcW w:w="2088" w:type="dxa"/>
          </w:tcPr>
          <w:p w14:paraId="6DECA9D1" w14:textId="77777777" w:rsidR="0056603B" w:rsidRDefault="00000000">
            <w:pPr>
              <w:spacing w:after="20"/>
            </w:pPr>
            <w:r>
              <w:rPr>
                <w:sz w:val="15"/>
              </w:rPr>
              <w:t>Ch. 3; Sec. 4.7; Fig. 4.11</w:t>
            </w:r>
          </w:p>
        </w:tc>
        <w:tc>
          <w:tcPr>
            <w:tcW w:w="1656" w:type="dxa"/>
          </w:tcPr>
          <w:p w14:paraId="2B3BA5F9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0149833D" w14:textId="77777777">
        <w:trPr>
          <w:jc w:val="center"/>
        </w:trPr>
        <w:tc>
          <w:tcPr>
            <w:tcW w:w="504" w:type="dxa"/>
          </w:tcPr>
          <w:p w14:paraId="7F92B98F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w="3960" w:type="dxa"/>
          </w:tcPr>
          <w:p w14:paraId="3AE5AC98" w14:textId="77777777" w:rsidR="0056603B" w:rsidRDefault="00000000">
            <w:pPr>
              <w:spacing w:after="20"/>
            </w:pPr>
            <w:r>
              <w:rPr>
                <w:sz w:val="15"/>
              </w:rPr>
              <w:t>Provide stronger implementation evidence for the prototype.</w:t>
            </w:r>
          </w:p>
        </w:tc>
        <w:tc>
          <w:tcPr>
            <w:tcW w:w="7560" w:type="dxa"/>
          </w:tcPr>
          <w:p w14:paraId="181B109F" w14:textId="77777777" w:rsidR="0056603B" w:rsidRDefault="00000000">
            <w:pPr>
              <w:spacing w:after="20"/>
            </w:pPr>
            <w:r>
              <w:rPr>
                <w:sz w:val="15"/>
              </w:rPr>
              <w:t>Added/updated Gradio dashboard, scenario explorer, dataset preview and MQTT subscriber terminal evidence showing final held-out ARIMA-to-pricing outputs being communicated.</w:t>
            </w:r>
          </w:p>
        </w:tc>
        <w:tc>
          <w:tcPr>
            <w:tcW w:w="2088" w:type="dxa"/>
          </w:tcPr>
          <w:p w14:paraId="61596F96" w14:textId="77777777" w:rsidR="0056603B" w:rsidRDefault="00000000">
            <w:pPr>
              <w:spacing w:after="20"/>
            </w:pPr>
            <w:r>
              <w:rPr>
                <w:sz w:val="15"/>
              </w:rPr>
              <w:t>Figs. 4.8-4.11</w:t>
            </w:r>
          </w:p>
        </w:tc>
        <w:tc>
          <w:tcPr>
            <w:tcW w:w="1656" w:type="dxa"/>
          </w:tcPr>
          <w:p w14:paraId="3F1AC6CD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29E31562" w14:textId="77777777">
        <w:trPr>
          <w:jc w:val="center"/>
        </w:trPr>
        <w:tc>
          <w:tcPr>
            <w:tcW w:w="504" w:type="dxa"/>
          </w:tcPr>
          <w:p w14:paraId="7C3C69B0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3960" w:type="dxa"/>
          </w:tcPr>
          <w:p w14:paraId="34AF7D6D" w14:textId="77777777" w:rsidR="0056603B" w:rsidRDefault="00000000">
            <w:pPr>
              <w:spacing w:after="20"/>
            </w:pPr>
            <w:r>
              <w:rPr>
                <w:sz w:val="15"/>
              </w:rPr>
              <w:t>Correct misleading or unclear figures/workflow diagrams.</w:t>
            </w:r>
          </w:p>
        </w:tc>
        <w:tc>
          <w:tcPr>
            <w:tcW w:w="7560" w:type="dxa"/>
          </w:tcPr>
          <w:p w14:paraId="4B6B809C" w14:textId="77777777" w:rsidR="0056603B" w:rsidRDefault="00000000">
            <w:pPr>
              <w:spacing w:after="20"/>
            </w:pPr>
            <w:r>
              <w:rPr>
                <w:sz w:val="15"/>
              </w:rPr>
              <w:t>Figures were regenerated/reorganised around the corrected held-out evaluation. Forecasting, pricing, demand-response, traffic-state feedback, Gradio and MQTT evidence are separated and clearly labelled.</w:t>
            </w:r>
          </w:p>
        </w:tc>
        <w:tc>
          <w:tcPr>
            <w:tcW w:w="2088" w:type="dxa"/>
          </w:tcPr>
          <w:p w14:paraId="7631BB7B" w14:textId="77777777" w:rsidR="0056603B" w:rsidRDefault="00000000">
            <w:pPr>
              <w:spacing w:after="20"/>
            </w:pPr>
            <w:r>
              <w:rPr>
                <w:sz w:val="15"/>
              </w:rPr>
              <w:t>Ch. 4 figures</w:t>
            </w:r>
          </w:p>
        </w:tc>
        <w:tc>
          <w:tcPr>
            <w:tcW w:w="1656" w:type="dxa"/>
          </w:tcPr>
          <w:p w14:paraId="6CF26394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6D6D473E" w14:textId="77777777">
        <w:trPr>
          <w:jc w:val="center"/>
        </w:trPr>
        <w:tc>
          <w:tcPr>
            <w:tcW w:w="504" w:type="dxa"/>
          </w:tcPr>
          <w:p w14:paraId="07B82ABE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3960" w:type="dxa"/>
          </w:tcPr>
          <w:p w14:paraId="3F4C8235" w14:textId="77777777" w:rsidR="0056603B" w:rsidRDefault="00000000">
            <w:pPr>
              <w:spacing w:after="20"/>
            </w:pPr>
            <w:r>
              <w:rPr>
                <w:sz w:val="15"/>
              </w:rPr>
              <w:t>Correct Figure 5.1 contribution terminology.</w:t>
            </w:r>
          </w:p>
        </w:tc>
        <w:tc>
          <w:tcPr>
            <w:tcW w:w="7560" w:type="dxa"/>
          </w:tcPr>
          <w:p w14:paraId="752BF428" w14:textId="77777777" w:rsidR="0056603B" w:rsidRDefault="00000000">
            <w:pPr>
              <w:spacing w:after="20"/>
            </w:pPr>
            <w:r>
              <w:rPr>
                <w:sz w:val="15"/>
              </w:rPr>
              <w:t>The previous inappropriate contribution/conference-paper wording was replaced. Figure 5.1 is now presented as the Research Contribution Block Diagram.</w:t>
            </w:r>
          </w:p>
        </w:tc>
        <w:tc>
          <w:tcPr>
            <w:tcW w:w="2088" w:type="dxa"/>
          </w:tcPr>
          <w:p w14:paraId="3242989F" w14:textId="77777777" w:rsidR="0056603B" w:rsidRDefault="00000000">
            <w:pPr>
              <w:spacing w:after="20"/>
            </w:pPr>
            <w:r>
              <w:rPr>
                <w:sz w:val="15"/>
              </w:rPr>
              <w:t>Fig. 5.1</w:t>
            </w:r>
          </w:p>
        </w:tc>
        <w:tc>
          <w:tcPr>
            <w:tcW w:w="1656" w:type="dxa"/>
          </w:tcPr>
          <w:p w14:paraId="3FE5C96E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48444531" w14:textId="77777777">
        <w:trPr>
          <w:jc w:val="center"/>
        </w:trPr>
        <w:tc>
          <w:tcPr>
            <w:tcW w:w="504" w:type="dxa"/>
          </w:tcPr>
          <w:p w14:paraId="1452FDE7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w="3960" w:type="dxa"/>
          </w:tcPr>
          <w:p w14:paraId="4EE33B71" w14:textId="77777777" w:rsidR="0056603B" w:rsidRDefault="00000000">
            <w:pPr>
              <w:spacing w:after="20"/>
            </w:pPr>
            <w:r>
              <w:rPr>
                <w:sz w:val="15"/>
              </w:rPr>
              <w:t>Align Discussion and Conclusion with the actual evidence.</w:t>
            </w:r>
          </w:p>
        </w:tc>
        <w:tc>
          <w:tcPr>
            <w:tcW w:w="7560" w:type="dxa"/>
          </w:tcPr>
          <w:p w14:paraId="7E6C448D" w14:textId="77777777" w:rsidR="0056603B" w:rsidRDefault="00000000">
            <w:pPr>
              <w:spacing w:after="20"/>
            </w:pPr>
            <w:r>
              <w:rPr>
                <w:sz w:val="15"/>
              </w:rPr>
              <w:t>Chapter 5 was revised so conclusions are limited to what the simulation and scenario modelling support. Practical Auckland deployment is presented as future work requiring real-data calibration and validation.</w:t>
            </w:r>
          </w:p>
        </w:tc>
        <w:tc>
          <w:tcPr>
            <w:tcW w:w="2088" w:type="dxa"/>
          </w:tcPr>
          <w:p w14:paraId="1A8EC1A6" w14:textId="77777777" w:rsidR="0056603B" w:rsidRDefault="00000000">
            <w:pPr>
              <w:spacing w:after="20"/>
            </w:pPr>
            <w:r>
              <w:rPr>
                <w:sz w:val="15"/>
              </w:rPr>
              <w:t>Ch. 5</w:t>
            </w:r>
          </w:p>
        </w:tc>
        <w:tc>
          <w:tcPr>
            <w:tcW w:w="1656" w:type="dxa"/>
          </w:tcPr>
          <w:p w14:paraId="71A7AA7C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4E7FCE90" w14:textId="77777777">
        <w:trPr>
          <w:jc w:val="center"/>
        </w:trPr>
        <w:tc>
          <w:tcPr>
            <w:tcW w:w="504" w:type="dxa"/>
          </w:tcPr>
          <w:p w14:paraId="7E1F433C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w="3960" w:type="dxa"/>
          </w:tcPr>
          <w:p w14:paraId="10635E38" w14:textId="77777777" w:rsidR="0056603B" w:rsidRDefault="00000000">
            <w:pPr>
              <w:spacing w:after="20"/>
            </w:pPr>
            <w:r>
              <w:rPr>
                <w:sz w:val="15"/>
              </w:rPr>
              <w:t>Strengthen limitations and future-work discussion.</w:t>
            </w:r>
          </w:p>
        </w:tc>
        <w:tc>
          <w:tcPr>
            <w:tcW w:w="7560" w:type="dxa"/>
          </w:tcPr>
          <w:p w14:paraId="4F2242EA" w14:textId="77777777" w:rsidR="0056603B" w:rsidRDefault="00000000">
            <w:pPr>
              <w:spacing w:after="20"/>
            </w:pPr>
            <w:r>
              <w:rPr>
                <w:sz w:val="15"/>
              </w:rPr>
              <w:t>Limitations now acknowledge synthetic/uncalibrated SUMO data, small aggregated dataset, assumed elasticity and feedback parameters, lack of observed driver behaviour, absence of production IoT deployment, and need for equity/policy validation.</w:t>
            </w:r>
          </w:p>
        </w:tc>
        <w:tc>
          <w:tcPr>
            <w:tcW w:w="2088" w:type="dxa"/>
          </w:tcPr>
          <w:p w14:paraId="706DEA2A" w14:textId="77777777" w:rsidR="0056603B" w:rsidRDefault="00000000">
            <w:pPr>
              <w:spacing w:after="20"/>
            </w:pPr>
            <w:r>
              <w:rPr>
                <w:sz w:val="15"/>
              </w:rPr>
              <w:t>Ch. 5</w:t>
            </w:r>
          </w:p>
        </w:tc>
        <w:tc>
          <w:tcPr>
            <w:tcW w:w="1656" w:type="dxa"/>
          </w:tcPr>
          <w:p w14:paraId="43BD4152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6F8844B2" w14:textId="77777777">
        <w:trPr>
          <w:jc w:val="center"/>
        </w:trPr>
        <w:tc>
          <w:tcPr>
            <w:tcW w:w="504" w:type="dxa"/>
          </w:tcPr>
          <w:p w14:paraId="18245A1C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w="3960" w:type="dxa"/>
          </w:tcPr>
          <w:p w14:paraId="45A197F3" w14:textId="77777777" w:rsidR="0056603B" w:rsidRDefault="00000000">
            <w:pPr>
              <w:spacing w:after="20"/>
            </w:pPr>
            <w:r>
              <w:rPr>
                <w:sz w:val="15"/>
              </w:rPr>
              <w:t>Correct inappropriate plural language in a single-author thesis.</w:t>
            </w:r>
          </w:p>
        </w:tc>
        <w:tc>
          <w:tcPr>
            <w:tcW w:w="7560" w:type="dxa"/>
          </w:tcPr>
          <w:p w14:paraId="634F0C75" w14:textId="77777777" w:rsidR="0056603B" w:rsidRDefault="00000000">
            <w:pPr>
              <w:spacing w:after="20"/>
            </w:pPr>
            <w:r>
              <w:rPr>
                <w:sz w:val="15"/>
              </w:rPr>
              <w:t>Acknowledgements were rewritten from we/our/the authors to I/my language.</w:t>
            </w:r>
          </w:p>
        </w:tc>
        <w:tc>
          <w:tcPr>
            <w:tcW w:w="2088" w:type="dxa"/>
          </w:tcPr>
          <w:p w14:paraId="6A9DD3C5" w14:textId="77777777" w:rsidR="0056603B" w:rsidRDefault="00000000">
            <w:pPr>
              <w:spacing w:after="20"/>
            </w:pPr>
            <w:r>
              <w:rPr>
                <w:sz w:val="15"/>
              </w:rPr>
              <w:t>Acknowledgements</w:t>
            </w:r>
          </w:p>
        </w:tc>
        <w:tc>
          <w:tcPr>
            <w:tcW w:w="1656" w:type="dxa"/>
          </w:tcPr>
          <w:p w14:paraId="43D222A7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2D7C39B1" w14:textId="77777777">
        <w:trPr>
          <w:jc w:val="center"/>
        </w:trPr>
        <w:tc>
          <w:tcPr>
            <w:tcW w:w="504" w:type="dxa"/>
          </w:tcPr>
          <w:p w14:paraId="59C04D4F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w="3960" w:type="dxa"/>
          </w:tcPr>
          <w:p w14:paraId="4162B839" w14:textId="77777777" w:rsidR="0056603B" w:rsidRDefault="00000000">
            <w:pPr>
              <w:spacing w:after="20"/>
            </w:pPr>
            <w:r>
              <w:rPr>
                <w:sz w:val="15"/>
              </w:rPr>
              <w:t>Correct Abstract structural/listing inconsistency.</w:t>
            </w:r>
          </w:p>
        </w:tc>
        <w:tc>
          <w:tcPr>
            <w:tcW w:w="7560" w:type="dxa"/>
          </w:tcPr>
          <w:p w14:paraId="03424B76" w14:textId="77777777" w:rsidR="0056603B" w:rsidRDefault="00000000">
            <w:pPr>
              <w:spacing w:after="20"/>
            </w:pPr>
            <w:r>
              <w:rPr>
                <w:sz w:val="15"/>
              </w:rPr>
              <w:t>The previous wording that referred to an incorrect number of system elements was removed; the revised Abstract describes the integrated components directly.</w:t>
            </w:r>
          </w:p>
        </w:tc>
        <w:tc>
          <w:tcPr>
            <w:tcW w:w="2088" w:type="dxa"/>
          </w:tcPr>
          <w:p w14:paraId="21559ECC" w14:textId="77777777" w:rsidR="0056603B" w:rsidRDefault="00000000">
            <w:pPr>
              <w:spacing w:after="20"/>
            </w:pPr>
            <w:r>
              <w:rPr>
                <w:sz w:val="15"/>
              </w:rPr>
              <w:t>Abstract</w:t>
            </w:r>
          </w:p>
        </w:tc>
        <w:tc>
          <w:tcPr>
            <w:tcW w:w="1656" w:type="dxa"/>
          </w:tcPr>
          <w:p w14:paraId="6CB9C30A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52F7ECDF" w14:textId="77777777">
        <w:trPr>
          <w:jc w:val="center"/>
        </w:trPr>
        <w:tc>
          <w:tcPr>
            <w:tcW w:w="504" w:type="dxa"/>
          </w:tcPr>
          <w:p w14:paraId="11BDF3E0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3960" w:type="dxa"/>
          </w:tcPr>
          <w:p w14:paraId="3F41912C" w14:textId="77777777" w:rsidR="0056603B" w:rsidRDefault="00000000">
            <w:pPr>
              <w:spacing w:after="20"/>
            </w:pPr>
            <w:r>
              <w:rPr>
                <w:sz w:val="15"/>
              </w:rPr>
              <w:t>Reduce repetition and improve presentation.</w:t>
            </w:r>
          </w:p>
        </w:tc>
        <w:tc>
          <w:tcPr>
            <w:tcW w:w="7560" w:type="dxa"/>
          </w:tcPr>
          <w:p w14:paraId="516B12AF" w14:textId="77777777" w:rsidR="0056603B" w:rsidRDefault="00000000">
            <w:pPr>
              <w:spacing w:after="20"/>
            </w:pPr>
            <w:r>
              <w:rPr>
                <w:sz w:val="15"/>
              </w:rPr>
              <w:t>Chapters 4-5 were substantially reorganised and repeated/overlapping interpretation was reduced.</w:t>
            </w:r>
          </w:p>
        </w:tc>
        <w:tc>
          <w:tcPr>
            <w:tcW w:w="2088" w:type="dxa"/>
          </w:tcPr>
          <w:p w14:paraId="13B8AB47" w14:textId="77777777" w:rsidR="0056603B" w:rsidRDefault="00000000">
            <w:pPr>
              <w:spacing w:after="20"/>
            </w:pPr>
            <w:r>
              <w:rPr>
                <w:sz w:val="15"/>
              </w:rPr>
              <w:t>Ch. 4; Ch. 5</w:t>
            </w:r>
          </w:p>
        </w:tc>
        <w:tc>
          <w:tcPr>
            <w:tcW w:w="1656" w:type="dxa"/>
          </w:tcPr>
          <w:p w14:paraId="2E8F8541" w14:textId="4046786D" w:rsidR="0056603B" w:rsidRDefault="002F5CC4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44F9046E" w14:textId="77777777">
        <w:trPr>
          <w:jc w:val="center"/>
        </w:trPr>
        <w:tc>
          <w:tcPr>
            <w:tcW w:w="504" w:type="dxa"/>
          </w:tcPr>
          <w:p w14:paraId="0C471430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w="3960" w:type="dxa"/>
          </w:tcPr>
          <w:p w14:paraId="1DDE1B81" w14:textId="77777777" w:rsidR="0056603B" w:rsidRDefault="00000000">
            <w:pPr>
              <w:spacing w:after="20"/>
            </w:pPr>
            <w:r>
              <w:rPr>
                <w:sz w:val="15"/>
              </w:rPr>
              <w:t>Correct citation/reference/cross-reference issues.</w:t>
            </w:r>
          </w:p>
        </w:tc>
        <w:tc>
          <w:tcPr>
            <w:tcW w:w="7560" w:type="dxa"/>
          </w:tcPr>
          <w:p w14:paraId="6CD1E1D4" w14:textId="77777777" w:rsidR="0056603B" w:rsidRDefault="00000000">
            <w:pPr>
              <w:spacing w:after="20"/>
            </w:pPr>
            <w:r>
              <w:rPr>
                <w:sz w:val="15"/>
              </w:rPr>
              <w:t>Citation formatting and several reference/cross-reference issues were corrected during revision. A final reference-format check can still be performed before archival submission.</w:t>
            </w:r>
          </w:p>
        </w:tc>
        <w:tc>
          <w:tcPr>
            <w:tcW w:w="2088" w:type="dxa"/>
          </w:tcPr>
          <w:p w14:paraId="4AD1642C" w14:textId="77777777" w:rsidR="0056603B" w:rsidRDefault="00000000">
            <w:pPr>
              <w:spacing w:after="20"/>
            </w:pPr>
            <w:r>
              <w:rPr>
                <w:sz w:val="15"/>
              </w:rPr>
              <w:t>Throughout</w:t>
            </w:r>
          </w:p>
        </w:tc>
        <w:tc>
          <w:tcPr>
            <w:tcW w:w="1656" w:type="dxa"/>
          </w:tcPr>
          <w:p w14:paraId="5DFCC406" w14:textId="4DA11C40" w:rsidR="0056603B" w:rsidRDefault="002F5CC4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  <w:tr w:rsidR="0056603B" w14:paraId="3BC04E8F" w14:textId="77777777">
        <w:trPr>
          <w:jc w:val="center"/>
        </w:trPr>
        <w:tc>
          <w:tcPr>
            <w:tcW w:w="504" w:type="dxa"/>
          </w:tcPr>
          <w:p w14:paraId="202BB92B" w14:textId="77777777" w:rsidR="0056603B" w:rsidRDefault="00000000">
            <w:pPr>
              <w:spacing w:after="20"/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w="3960" w:type="dxa"/>
          </w:tcPr>
          <w:p w14:paraId="486B6BDB" w14:textId="77777777" w:rsidR="0056603B" w:rsidRDefault="00000000">
            <w:pPr>
              <w:spacing w:after="20"/>
            </w:pPr>
            <w:r>
              <w:rPr>
                <w:sz w:val="15"/>
              </w:rPr>
              <w:t>General proofreading and editorial corrections.</w:t>
            </w:r>
          </w:p>
        </w:tc>
        <w:tc>
          <w:tcPr>
            <w:tcW w:w="7560" w:type="dxa"/>
          </w:tcPr>
          <w:p w14:paraId="5C15841A" w14:textId="77777777" w:rsidR="0056603B" w:rsidRDefault="00000000">
            <w:pPr>
              <w:spacing w:after="20"/>
            </w:pPr>
            <w:r>
              <w:rPr>
                <w:sz w:val="15"/>
              </w:rPr>
              <w:t>Grammar, terminology, captions and academic wording were substantially revised throughout the thesis. Only very minor final proofreading items remain, such as punctuation.</w:t>
            </w:r>
          </w:p>
        </w:tc>
        <w:tc>
          <w:tcPr>
            <w:tcW w:w="2088" w:type="dxa"/>
          </w:tcPr>
          <w:p w14:paraId="4079C797" w14:textId="77777777" w:rsidR="0056603B" w:rsidRDefault="00000000">
            <w:pPr>
              <w:spacing w:after="20"/>
            </w:pPr>
            <w:r>
              <w:rPr>
                <w:sz w:val="15"/>
              </w:rPr>
              <w:t>Throughout</w:t>
            </w:r>
          </w:p>
        </w:tc>
        <w:tc>
          <w:tcPr>
            <w:tcW w:w="1656" w:type="dxa"/>
          </w:tcPr>
          <w:p w14:paraId="1AEAC626" w14:textId="102B2CE7" w:rsidR="0056603B" w:rsidRDefault="002F5CC4">
            <w:pPr>
              <w:spacing w:after="20"/>
              <w:jc w:val="center"/>
            </w:pPr>
            <w:r>
              <w:rPr>
                <w:sz w:val="15"/>
              </w:rPr>
              <w:t>Addressed</w:t>
            </w:r>
          </w:p>
        </w:tc>
      </w:tr>
    </w:tbl>
    <w:p w14:paraId="5B92AAF9" w14:textId="77777777" w:rsidR="0056603B" w:rsidRDefault="0056603B"/>
    <w:p w14:paraId="24B6094C" w14:textId="77777777" w:rsidR="0056603B" w:rsidRDefault="00000000">
      <w:r>
        <w:rPr>
          <w:b/>
        </w:rPr>
        <w:t xml:space="preserve">Overall status: </w:t>
      </w:r>
      <w:r>
        <w:t>All substantive examiner/adjudicator amendments have been addressed. Remaining items are limited to final proofreading and reference-format verification and do not alter the methodology or reported results.</w:t>
      </w:r>
    </w:p>
    <w:sectPr w:rsidR="0056603B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288034">
    <w:abstractNumId w:val="8"/>
  </w:num>
  <w:num w:numId="2" w16cid:durableId="828714224">
    <w:abstractNumId w:val="6"/>
  </w:num>
  <w:num w:numId="3" w16cid:durableId="684288013">
    <w:abstractNumId w:val="5"/>
  </w:num>
  <w:num w:numId="4" w16cid:durableId="1806507482">
    <w:abstractNumId w:val="4"/>
  </w:num>
  <w:num w:numId="5" w16cid:durableId="633947980">
    <w:abstractNumId w:val="7"/>
  </w:num>
  <w:num w:numId="6" w16cid:durableId="366181148">
    <w:abstractNumId w:val="3"/>
  </w:num>
  <w:num w:numId="7" w16cid:durableId="1854300459">
    <w:abstractNumId w:val="2"/>
  </w:num>
  <w:num w:numId="8" w16cid:durableId="1648168926">
    <w:abstractNumId w:val="1"/>
  </w:num>
  <w:num w:numId="9" w16cid:durableId="1233738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CC4"/>
    <w:rsid w:val="00326F90"/>
    <w:rsid w:val="0056603B"/>
    <w:rsid w:val="008F3E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260A0"/>
  <w14:defaultImageDpi w14:val="300"/>
  <w15:docId w15:val="{7B417F51-9735-4CD1-9481-C20DE44E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tollawala</cp:lastModifiedBy>
  <cp:revision>2</cp:revision>
  <dcterms:created xsi:type="dcterms:W3CDTF">2013-12-23T23:15:00Z</dcterms:created>
  <dcterms:modified xsi:type="dcterms:W3CDTF">2026-08-11T02:22:00Z</dcterms:modified>
  <cp:category/>
</cp:coreProperties>
</file>