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1524D" w14:textId="77777777" w:rsidR="00F90DA2" w:rsidRPr="00F90DA2" w:rsidRDefault="00F90DA2" w:rsidP="00F90DA2">
      <w:pPr>
        <w:rPr>
          <w:b/>
          <w:bCs/>
        </w:rPr>
      </w:pPr>
      <w:r w:rsidRPr="00F90DA2">
        <w:rPr>
          <w:b/>
          <w:bCs/>
        </w:rPr>
        <w:t>Results</w:t>
      </w:r>
    </w:p>
    <w:p w14:paraId="6CAF3AFF" w14:textId="77777777" w:rsidR="00F90DA2" w:rsidRPr="00F90DA2" w:rsidRDefault="00F90DA2" w:rsidP="00F90DA2">
      <w:r w:rsidRPr="00F90DA2">
        <w:t>The performance of the proposed travel time forecasting models was evaluated using corridor-level data aggregated at a 10-minute temporal resolution over a continuous 48-hour simulation period. Three models were assessed: a classical ARIMA baseline, a machine learning model (</w:t>
      </w:r>
      <w:proofErr w:type="spellStart"/>
      <w:r w:rsidRPr="00F90DA2">
        <w:t>XGBoost</w:t>
      </w:r>
      <w:proofErr w:type="spellEnd"/>
      <w:r w:rsidRPr="00F90DA2">
        <w:t>), and a deep learning model (LSTM). Model accuracy was measured using Mean Absolute Error (MAE) and Root Mean Squared Error (RMSE).</w:t>
      </w:r>
    </w:p>
    <w:p w14:paraId="19773F7A" w14:textId="77777777" w:rsidR="00F90DA2" w:rsidRPr="00F90DA2" w:rsidRDefault="00F90DA2" w:rsidP="00F90DA2">
      <w:r w:rsidRPr="00F90DA2">
        <w:t xml:space="preserve">The </w:t>
      </w:r>
      <w:proofErr w:type="gramStart"/>
      <w:r w:rsidRPr="00F90DA2">
        <w:t>ARIMA(</w:t>
      </w:r>
      <w:proofErr w:type="gramEnd"/>
      <w:r w:rsidRPr="00F90DA2">
        <w:t xml:space="preserve">1,1,1) model achieved an MAE of 0.19 seconds and an RMSE of 0.25 seconds for 10-minute-ahead travel time prediction. This performance establishes a strong statistical baseline, indicating a high degree of temporal regularity in the corridor-level travel time series. The </w:t>
      </w:r>
      <w:proofErr w:type="spellStart"/>
      <w:r w:rsidRPr="00F90DA2">
        <w:t>XGBoost</w:t>
      </w:r>
      <w:proofErr w:type="spellEnd"/>
      <w:r w:rsidRPr="00F90DA2">
        <w:t xml:space="preserve"> model, trained using lagged travel time features and time-of-day variables, produced a slightly higher MAE of 0.25 seconds and an RMSE of 0.33 seconds. Despite its ability to capture non-linear relationships, </w:t>
      </w:r>
      <w:proofErr w:type="spellStart"/>
      <w:r w:rsidRPr="00F90DA2">
        <w:t>XGBoost</w:t>
      </w:r>
      <w:proofErr w:type="spellEnd"/>
      <w:r w:rsidRPr="00F90DA2">
        <w:t xml:space="preserve"> did not outperform the ARIMA model in this setting, suggesting limited non-linear structure in the aggregated corridor signal.</w:t>
      </w:r>
    </w:p>
    <w:p w14:paraId="0ECAE219" w14:textId="77777777" w:rsidR="00F90DA2" w:rsidRPr="00F90DA2" w:rsidRDefault="00F90DA2" w:rsidP="00F90DA2">
      <w:r w:rsidRPr="00F90DA2">
        <w:t>The LSTM model achieved an MAE of 0.19 seconds and an RMSE of 0.25 seconds, matching the performance of the ARIMA baseline. This result indicates that while recurrent neural networks are capable of modelling temporal dependencies, the additional model complexity does not yield significant performance gains when the input signal is highly smoothed through corridor-level aggregation. Overall, the results demonstrate that classical time-series methods remain competitive with deep learning approaches under conditions of low variance and strong short-term autocorrelation.</w:t>
      </w:r>
    </w:p>
    <w:p w14:paraId="18508418" w14:textId="77777777" w:rsidR="00F90DA2" w:rsidRPr="00F90DA2" w:rsidRDefault="00F90DA2" w:rsidP="00F90DA2">
      <w:r w:rsidRPr="00F90DA2">
        <w:t>Dynamic congestion pricing was then applied using predicted corridor travel time to compute a congestion index relative to free-flow conditions. A free-flow travel time of approximately 1.31 seconds was estimated using the 5th percentile of observed corridor travel times. Based on this baseline, a piecewise tolling scheme was implemented, activating only when congestion exceeded defined thresholds. The pricing mechanism resulted in tolls being applied in 69.6% of the evaluated time intervals, with an average toll of NZD 2.66 when active and a total revenue proxy of NZD 529.47 over the evaluation period.</w:t>
      </w:r>
    </w:p>
    <w:p w14:paraId="63E84A3C" w14:textId="77777777" w:rsidR="00F90DA2" w:rsidRPr="00F90DA2" w:rsidRDefault="00F90DA2" w:rsidP="00F90DA2">
      <w:r w:rsidRPr="00F90DA2">
        <w:t>Analysis of temporal pricing patterns revealed that average off-peak tolls slightly exceeded peak-period tolls. This outcome reflects the presence of residual and non-recurrent congestion outside traditional peak hours, highlighting the advantage of continuous dynamic pricing over static peak/off-peak schemes. The pricing schedule exhibited smooth temporal variation and remained bounded within the predefined cap, supporting policy realism and acceptability.</w:t>
      </w:r>
    </w:p>
    <w:p w14:paraId="6174BE81" w14:textId="77777777" w:rsidR="00F90DA2" w:rsidRPr="00F90DA2" w:rsidRDefault="00F90DA2" w:rsidP="00F90DA2">
      <w:r w:rsidRPr="00F90DA2">
        <w:t>To assess behavioural impacts, a short-run price elasticity of demand of −0.10 was applied to estimate traffic demand response. The pricing scheme produced an average demand reduction of 3.70%, with a maximum reduction of 12.00% during highly congested intervals. Although modest in magnitude, these reductions align with empirical findings that congestion pricing primarily redistributes demand rather than suppressing travel altogether.</w:t>
      </w:r>
    </w:p>
    <w:p w14:paraId="56BD4B7B" w14:textId="77777777" w:rsidR="00F90DA2" w:rsidRDefault="00F90DA2" w:rsidP="00F90DA2">
      <w:r w:rsidRPr="00F90DA2">
        <w:t>Finally, a congestion–demand feedback mechanism was incorporated to evaluate system-level impacts. Accounting for reduced demand resulted in an average corridor travel time reduction of 2.96%, with maximum reductions reaching 9.60%. These results demonstrate that relatively small behavioural changes can yield disproportionate congestion relief, reinforcing the effectiveness of dynamic congestion pricing as a network-level intervention.</w:t>
      </w:r>
    </w:p>
    <w:p w14:paraId="3CAB899F" w14:textId="77777777" w:rsidR="00F90DA2" w:rsidRDefault="00F90DA2" w:rsidP="00F90DA2"/>
    <w:p w14:paraId="67E6E4E2" w14:textId="77777777" w:rsidR="00F90DA2" w:rsidRPr="00F90DA2" w:rsidRDefault="00F90DA2" w:rsidP="00F90DA2"/>
    <w:p w14:paraId="33E89B7F" w14:textId="77777777" w:rsidR="00D90EC6" w:rsidRDefault="00D90EC6"/>
    <w:sectPr w:rsidR="00D90E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81"/>
  <w:drawingGridVerticalSpacing w:val="18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7136"/>
    <w:rsid w:val="00176C3C"/>
    <w:rsid w:val="00176D5E"/>
    <w:rsid w:val="00284726"/>
    <w:rsid w:val="003914F6"/>
    <w:rsid w:val="003B3A74"/>
    <w:rsid w:val="00587136"/>
    <w:rsid w:val="006442A0"/>
    <w:rsid w:val="008F253D"/>
    <w:rsid w:val="00D90EC6"/>
    <w:rsid w:val="00F90D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9BC64"/>
  <w15:chartTrackingRefBased/>
  <w15:docId w15:val="{613B5377-B7DE-47E6-8D0B-8DFF7995E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71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71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71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71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71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71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71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71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71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71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71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71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71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71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71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71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71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7136"/>
    <w:rPr>
      <w:rFonts w:eastAsiaTheme="majorEastAsia" w:cstheme="majorBidi"/>
      <w:color w:val="272727" w:themeColor="text1" w:themeTint="D8"/>
    </w:rPr>
  </w:style>
  <w:style w:type="paragraph" w:styleId="Title">
    <w:name w:val="Title"/>
    <w:basedOn w:val="Normal"/>
    <w:next w:val="Normal"/>
    <w:link w:val="TitleChar"/>
    <w:uiPriority w:val="10"/>
    <w:qFormat/>
    <w:rsid w:val="005871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71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71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71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7136"/>
    <w:pPr>
      <w:spacing w:before="160"/>
      <w:jc w:val="center"/>
    </w:pPr>
    <w:rPr>
      <w:i/>
      <w:iCs/>
      <w:color w:val="404040" w:themeColor="text1" w:themeTint="BF"/>
    </w:rPr>
  </w:style>
  <w:style w:type="character" w:customStyle="1" w:styleId="QuoteChar">
    <w:name w:val="Quote Char"/>
    <w:basedOn w:val="DefaultParagraphFont"/>
    <w:link w:val="Quote"/>
    <w:uiPriority w:val="29"/>
    <w:rsid w:val="00587136"/>
    <w:rPr>
      <w:i/>
      <w:iCs/>
      <w:color w:val="404040" w:themeColor="text1" w:themeTint="BF"/>
    </w:rPr>
  </w:style>
  <w:style w:type="paragraph" w:styleId="ListParagraph">
    <w:name w:val="List Paragraph"/>
    <w:basedOn w:val="Normal"/>
    <w:uiPriority w:val="34"/>
    <w:qFormat/>
    <w:rsid w:val="00587136"/>
    <w:pPr>
      <w:ind w:left="720"/>
      <w:contextualSpacing/>
    </w:pPr>
  </w:style>
  <w:style w:type="character" w:styleId="IntenseEmphasis">
    <w:name w:val="Intense Emphasis"/>
    <w:basedOn w:val="DefaultParagraphFont"/>
    <w:uiPriority w:val="21"/>
    <w:qFormat/>
    <w:rsid w:val="00587136"/>
    <w:rPr>
      <w:i/>
      <w:iCs/>
      <w:color w:val="2F5496" w:themeColor="accent1" w:themeShade="BF"/>
    </w:rPr>
  </w:style>
  <w:style w:type="paragraph" w:styleId="IntenseQuote">
    <w:name w:val="Intense Quote"/>
    <w:basedOn w:val="Normal"/>
    <w:next w:val="Normal"/>
    <w:link w:val="IntenseQuoteChar"/>
    <w:uiPriority w:val="30"/>
    <w:qFormat/>
    <w:rsid w:val="005871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7136"/>
    <w:rPr>
      <w:i/>
      <w:iCs/>
      <w:color w:val="2F5496" w:themeColor="accent1" w:themeShade="BF"/>
    </w:rPr>
  </w:style>
  <w:style w:type="character" w:styleId="IntenseReference">
    <w:name w:val="Intense Reference"/>
    <w:basedOn w:val="DefaultParagraphFont"/>
    <w:uiPriority w:val="32"/>
    <w:qFormat/>
    <w:rsid w:val="005871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535</Words>
  <Characters>3051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 tollawala</dc:creator>
  <cp:keywords/>
  <dc:description/>
  <cp:lastModifiedBy>vivek tollawala</cp:lastModifiedBy>
  <cp:revision>1</cp:revision>
  <dcterms:created xsi:type="dcterms:W3CDTF">2026-01-29T01:12:00Z</dcterms:created>
  <dcterms:modified xsi:type="dcterms:W3CDTF">2026-02-26T22:09:00Z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14ee42a9-02c9-4ddf-8c60-748ba2f8cd9b</vt:lpwstr>
  </property>
</Properties>
</file>