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B57"/>
          <w:sz w:val="32"/>
          <w:szCs w:val="32"/>
        </w:rPr>
        <w:t xml:space="preserve">FEASIBILITY ANALYSIS</w:t>
      </w:r>
    </w:p>
    <w:p>
      <w:pPr>
        <w:spacing w:after="300"/>
        <w:jc w:val="center"/>
      </w:pPr>
      <w:r>
        <w:rPr>
          <w:b/>
          <w:bCs/>
          <w:color w:val="C1541D"/>
          <w:sz w:val="22"/>
          <w:szCs w:val="22"/>
        </w:rPr>
        <w:t xml:space="preserve">IoT-Based Karting Driver Safety and Performance System</w:t>
      </w:r>
    </w:p>
    <w:p>
      <w:pPr>
        <w:pStyle w:val="Heading1"/>
        <w:spacing w:after="140" w:before="320"/>
      </w:pPr>
      <w:r>
        <w:rPr>
          <w:b/>
          <w:bCs/>
          <w:color w:val="1F3B57"/>
          <w:sz w:val="28"/>
          <w:szCs w:val="28"/>
        </w:rPr>
        <w:t xml:space="preserve">1. Introduction</w:t>
      </w:r>
    </w:p>
    <w:p>
      <w:pPr>
        <w:spacing w:after="150" w:line="288"/>
        <w:jc w:val="both"/>
      </w:pPr>
      <w:r>
        <w:rPr>
          <w:sz w:val="22"/>
          <w:szCs w:val="22"/>
        </w:rPr>
        <w:t xml:space="preserve">Feasibility is the practical extent to which a project can be performed successfully. For the IoT-Based Karting Driver Safety and Performance System, this study determines whether the proposed glove-and-kart sensor system, combined with the coaching dashboard, is practical and workable to build within an academic project timeline. It considers resource availability (hardware components, development skills already held), cost estimation (hardware plus software development), the benefit to karting academies once deployed, and the ongoing cost of maintaining the system afterward. The outcome of this study is a recommendation on whether to proceed with detailed requirements engineering and system development.</w:t>
      </w:r>
    </w:p>
    <w:p>
      <w:pPr>
        <w:spacing w:after="150" w:line="288"/>
        <w:jc w:val="both"/>
      </w:pPr>
      <w:r>
        <w:rPr>
          <w:sz w:val="22"/>
          <w:szCs w:val="22"/>
        </w:rPr>
        <w:t xml:space="preserve">If a system does not support its intended objectives, it has no real value — in this case, the objective is closing the gap between post-session-only coaching feedback and real-time, in-session driver guidance. This project avoids the common pitfall of building a system without clear objectives, since stakeholder consultation (the academy team manager interview) already confirmed the specific problem being solved: drivers currently receive no live feedback, only post-session review.</w:t>
      </w:r>
    </w:p>
    <w:p>
      <w:pPr>
        <w:spacing w:after="150" w:line="288"/>
        <w:jc w:val="both"/>
      </w:pPr>
      <w:r>
        <w:rPr>
          <w:sz w:val="22"/>
          <w:szCs w:val="22"/>
        </w:rPr>
        <w:t xml:space="preserve">The objective of this feasibility study is to establish that the proposed system is acceptable to its users (drivers, coaches, admins), adaptable across different karting tracks, and conformable to realistic academic project constraints. Specific objectives include:</w:t>
      </w:r>
    </w:p>
    <w:p>
      <w:pPr>
        <w:pStyle w:val="ListParagraph"/>
        <w:numPr>
          <w:ilvl w:val="0"/>
          <w:numId w:val="1"/>
        </w:numPr>
        <w:spacing w:after="90" w:line="276"/>
      </w:pPr>
      <w:r>
        <w:rPr>
          <w:b/>
          <w:bCs/>
          <w:sz w:val="22"/>
          <w:szCs w:val="22"/>
        </w:rPr>
        <w:t xml:space="preserve">Meeting stakeholder requirements: </w:t>
      </w:r>
      <w:r>
        <w:rPr>
          <w:sz w:val="22"/>
          <w:szCs w:val="22"/>
        </w:rPr>
        <w:t xml:space="preserve">To analyse whether the system will meet the training and safety requirements identified through stakeholder consultation.</w:t>
      </w:r>
    </w:p>
    <w:p>
      <w:pPr>
        <w:pStyle w:val="ListParagraph"/>
        <w:numPr>
          <w:ilvl w:val="0"/>
          <w:numId w:val="1"/>
        </w:numPr>
        <w:spacing w:after="90" w:line="276"/>
      </w:pPr>
      <w:r>
        <w:rPr>
          <w:b/>
          <w:bCs/>
          <w:sz w:val="22"/>
          <w:szCs w:val="22"/>
        </w:rPr>
        <w:t xml:space="preserve">Implementation within constraints: </w:t>
      </w:r>
      <w:r>
        <w:rPr>
          <w:sz w:val="22"/>
          <w:szCs w:val="22"/>
        </w:rPr>
        <w:t xml:space="preserve">To determine whether the system can be implemented using ESP32-based IoT hardware and a React/Django web stack within the available budget (approximately ₹2,750 – ₹4,450 per prototype set) and academic project schedule.</w:t>
      </w:r>
    </w:p>
    <w:p>
      <w:pPr>
        <w:pStyle w:val="ListParagraph"/>
        <w:numPr>
          <w:ilvl w:val="0"/>
          <w:numId w:val="1"/>
        </w:numPr>
        <w:spacing w:after="90" w:line="276"/>
      </w:pPr>
      <w:r>
        <w:rPr>
          <w:b/>
          <w:bCs/>
          <w:sz w:val="22"/>
          <w:szCs w:val="22"/>
        </w:rPr>
        <w:t xml:space="preserve">Integration: </w:t>
      </w:r>
      <w:r>
        <w:rPr>
          <w:sz w:val="22"/>
          <w:szCs w:val="22"/>
        </w:rPr>
        <w:t xml:space="preserve">To determine whether the glove and kart sensor units can be integrated with the coaching dashboard via ESP-NOW/BLE without requiring infrastructure the academy doesn't already have.</w:t>
      </w:r>
    </w:p>
    <w:p>
      <w:pPr>
        <w:pStyle w:val="Heading2"/>
        <w:spacing w:after="100" w:before="220"/>
      </w:pPr>
      <w:r>
        <w:rPr>
          <w:b/>
          <w:bCs/>
          <w:color w:val="1F3B57"/>
          <w:sz w:val="24"/>
          <w:szCs w:val="24"/>
        </w:rPr>
        <w:t xml:space="preserve">1.1 Information Assessment</w:t>
      </w:r>
    </w:p>
    <w:p>
      <w:pPr>
        <w:spacing w:after="150" w:line="288"/>
        <w:jc w:val="both"/>
      </w:pPr>
      <w:r>
        <w:rPr>
          <w:sz w:val="22"/>
          <w:szCs w:val="22"/>
        </w:rPr>
        <w:t xml:space="preserve">The information assessment for this project addresses the following questions:</w:t>
      </w:r>
    </w:p>
    <w:p>
      <w:pPr>
        <w:pStyle w:val="ListParagraph"/>
        <w:numPr>
          <w:ilvl w:val="0"/>
          <w:numId w:val="1"/>
        </w:numPr>
        <w:spacing w:after="90" w:line="276"/>
      </w:pPr>
      <w:r>
        <w:rPr>
          <w:b/>
          <w:bCs/>
          <w:sz w:val="22"/>
          <w:szCs w:val="22"/>
        </w:rPr>
        <w:t xml:space="preserve">Continuity without the system: </w:t>
      </w:r>
      <w:r>
        <w:rPr>
          <w:sz w:val="22"/>
          <w:szCs w:val="22"/>
        </w:rPr>
        <w:t xml:space="preserve">How would the academy's training continue if this system were not implemented? Coaching would remain post-session-only, as it is today.</w:t>
      </w:r>
    </w:p>
    <w:p>
      <w:pPr>
        <w:pStyle w:val="ListParagraph"/>
        <w:numPr>
          <w:ilvl w:val="0"/>
          <w:numId w:val="1"/>
        </w:numPr>
        <w:spacing w:after="90" w:line="276"/>
      </w:pPr>
      <w:r>
        <w:rPr>
          <w:b/>
          <w:bCs/>
          <w:sz w:val="22"/>
          <w:szCs w:val="22"/>
        </w:rPr>
        <w:t xml:space="preserve">Current process problems: </w:t>
      </w:r>
      <w:r>
        <w:rPr>
          <w:sz w:val="22"/>
          <w:szCs w:val="22"/>
        </w:rPr>
        <w:t xml:space="preserve">What problems with current coaching does the system address? Lack of real-time feedback, and no live biometric visibility during a session.</w:t>
      </w:r>
    </w:p>
    <w:p>
      <w:pPr>
        <w:pStyle w:val="ListParagraph"/>
        <w:numPr>
          <w:ilvl w:val="0"/>
          <w:numId w:val="1"/>
        </w:numPr>
        <w:spacing w:after="90" w:line="276"/>
      </w:pPr>
      <w:r>
        <w:rPr>
          <w:b/>
          <w:bCs/>
          <w:sz w:val="22"/>
          <w:szCs w:val="22"/>
        </w:rPr>
        <w:t xml:space="preserve">Contribution to objectives: </w:t>
      </w:r>
      <w:r>
        <w:rPr>
          <w:sz w:val="22"/>
          <w:szCs w:val="22"/>
        </w:rPr>
        <w:t xml:space="preserve">What direct contribution does the system make to training objectives? Faster correction of corner-speed misjudgment, and better-informed pit/rest decisions.</w:t>
      </w:r>
    </w:p>
    <w:p>
      <w:pPr>
        <w:pStyle w:val="ListParagraph"/>
        <w:numPr>
          <w:ilvl w:val="0"/>
          <w:numId w:val="1"/>
        </w:numPr>
        <w:spacing w:after="90" w:line="276"/>
      </w:pPr>
      <w:r>
        <w:rPr>
          <w:b/>
          <w:bCs/>
          <w:sz w:val="22"/>
          <w:szCs w:val="22"/>
        </w:rPr>
        <w:t xml:space="preserve">Data portability: </w:t>
      </w:r>
      <w:r>
        <w:rPr>
          <w:sz w:val="22"/>
          <w:szCs w:val="22"/>
        </w:rPr>
        <w:t xml:space="preserve">Can data be transferred to and from other systems? Yes — session data could export to standard formats such as CSV/PDF for existing coaching workflows.</w:t>
      </w:r>
    </w:p>
    <w:p>
      <w:pPr>
        <w:pStyle w:val="ListParagraph"/>
        <w:numPr>
          <w:ilvl w:val="0"/>
          <w:numId w:val="1"/>
        </w:numPr>
        <w:spacing w:after="90" w:line="276"/>
      </w:pPr>
      <w:r>
        <w:rPr>
          <w:b/>
          <w:bCs/>
          <w:sz w:val="22"/>
          <w:szCs w:val="22"/>
        </w:rPr>
        <w:t xml:space="preserve">New technology exposure: </w:t>
      </w:r>
      <w:r>
        <w:rPr>
          <w:sz w:val="22"/>
          <w:szCs w:val="22"/>
        </w:rPr>
        <w:t xml:space="preserve">Does the system require technology not previously used at the academy? Yes — IoT wearables and live telemetry are new; this is assessed further under technical feasibility.</w:t>
      </w:r>
    </w:p>
    <w:p>
      <w:pPr>
        <w:pStyle w:val="ListParagraph"/>
        <w:numPr>
          <w:ilvl w:val="0"/>
          <w:numId w:val="1"/>
        </w:numPr>
        <w:spacing w:after="90" w:line="276"/>
      </w:pPr>
      <w:r>
        <w:rPr>
          <w:b/>
          <w:bCs/>
          <w:sz w:val="22"/>
          <w:szCs w:val="22"/>
        </w:rPr>
        <w:t xml:space="preserve">Scope boundaries: </w:t>
      </w:r>
      <w:r>
        <w:rPr>
          <w:sz w:val="22"/>
          <w:szCs w:val="22"/>
        </w:rPr>
        <w:t xml:space="preserve">What must the system support, and what need not be supported in the first version? Must support live trajectory alerting and biometric monitoring; need not initially support multi-track deployment beyond the pilot academy.</w:t>
      </w:r>
    </w:p>
    <w:p>
      <w:pPr>
        <w:spacing w:after="150" w:line="288"/>
        <w:jc w:val="both"/>
      </w:pPr>
      <w:r>
        <w:rPr>
          <w:sz w:val="22"/>
          <w:szCs w:val="22"/>
        </w:rPr>
        <w:t xml:space="preserve">This is assessed across three dimensions — technical, operational, and economic feasibility — detailed in the sections that follow.</w:t>
      </w:r>
    </w:p>
    <w:p>
      <w:pPr>
        <w:pStyle w:val="Heading1"/>
        <w:spacing w:after="140" w:before="320"/>
      </w:pPr>
      <w:r>
        <w:rPr>
          <w:b/>
          <w:bCs/>
          <w:color w:val="1F3B57"/>
          <w:sz w:val="28"/>
          <w:szCs w:val="28"/>
        </w:rPr>
        <w:t xml:space="preserve">2. Technical Feasibility</w:t>
      </w:r>
    </w:p>
    <w:p>
      <w:pPr>
        <w:spacing w:after="150" w:line="288"/>
        <w:jc w:val="both"/>
      </w:pPr>
      <w:r>
        <w:rPr>
          <w:sz w:val="22"/>
          <w:szCs w:val="22"/>
        </w:rPr>
        <w:t xml:space="preserve">Technical feasibility assesses whether the required hardware, software, and technical skills are available to build the system within the project timeline.</w:t>
      </w:r>
    </w:p>
    <w:p>
      <w:pPr>
        <w:pStyle w:val="ListParagraph"/>
        <w:numPr>
          <w:ilvl w:val="0"/>
          <w:numId w:val="1"/>
        </w:numPr>
        <w:spacing w:after="90" w:line="276"/>
      </w:pPr>
      <w:r>
        <w:rPr>
          <w:b/>
          <w:bCs/>
          <w:sz w:val="22"/>
          <w:szCs w:val="22"/>
        </w:rPr>
        <w:t xml:space="preserve">Technology maturity: </w:t>
      </w:r>
      <w:r>
        <w:rPr>
          <w:sz w:val="22"/>
          <w:szCs w:val="22"/>
        </w:rPr>
        <w:t xml:space="preserve">All core components — ESP32 microcontrollers, MPU6050/9250 IMUs, NEO-6M/M8N GPS modules, MAX30102 biometric sensors, and NeoPixel LEDs — are well-established, widely documented, and already used in comparable IoT and telemetry projects, reducing technical risk.</w:t>
      </w:r>
    </w:p>
    <w:p>
      <w:pPr>
        <w:pStyle w:val="ListParagraph"/>
        <w:numPr>
          <w:ilvl w:val="0"/>
          <w:numId w:val="1"/>
        </w:numPr>
        <w:spacing w:after="90" w:line="276"/>
      </w:pPr>
      <w:r>
        <w:rPr>
          <w:b/>
          <w:bCs/>
          <w:sz w:val="22"/>
          <w:szCs w:val="22"/>
        </w:rPr>
        <w:t xml:space="preserve">Team skill alignment: </w:t>
      </w:r>
      <w:r>
        <w:rPr>
          <w:sz w:val="22"/>
          <w:szCs w:val="22"/>
        </w:rPr>
        <w:t xml:space="preserve">The development stack (React frontend, Django backend, ESP32 firmware in C/Arduino) matches skills already demonstrated across prior project work, including micro-frontend architecture, Redux state management, and IoT sensor integration, reducing the learning curve for implementation.</w:t>
      </w:r>
    </w:p>
    <w:p>
      <w:pPr>
        <w:pStyle w:val="ListParagraph"/>
        <w:numPr>
          <w:ilvl w:val="0"/>
          <w:numId w:val="1"/>
        </w:numPr>
        <w:spacing w:after="90" w:line="276"/>
      </w:pPr>
      <w:r>
        <w:rPr>
          <w:b/>
          <w:bCs/>
          <w:sz w:val="22"/>
          <w:szCs w:val="22"/>
        </w:rPr>
        <w:t xml:space="preserve">Community and support: </w:t>
      </w:r>
      <w:r>
        <w:rPr>
          <w:sz w:val="22"/>
          <w:szCs w:val="22"/>
        </w:rPr>
        <w:t xml:space="preserve">Each hardware component has a large existing user base and extensive community documentation, so troubleshooting support is readily available during development.</w:t>
      </w:r>
    </w:p>
    <w:p>
      <w:pPr>
        <w:pStyle w:val="ListParagraph"/>
        <w:numPr>
          <w:ilvl w:val="0"/>
          <w:numId w:val="1"/>
        </w:numPr>
        <w:spacing w:after="90" w:line="276"/>
      </w:pPr>
      <w:r>
        <w:rPr>
          <w:b/>
          <w:bCs/>
          <w:sz w:val="22"/>
          <w:szCs w:val="22"/>
        </w:rPr>
        <w:t xml:space="preserve">Integration feasibility: </w:t>
      </w:r>
      <w:r>
        <w:rPr>
          <w:sz w:val="22"/>
          <w:szCs w:val="22"/>
        </w:rPr>
        <w:t xml:space="preserve">Communication between the glove unit, track/kart unit, and the coaching dashboard can be handled through ESP-NOW or Bluetooth Low Energy, both of which are proven, low-latency protocols suitable for short-range telemetry at karting speeds.</w:t>
      </w:r>
    </w:p>
    <w:p>
      <w:pPr>
        <w:pStyle w:val="ListParagraph"/>
        <w:numPr>
          <w:ilvl w:val="0"/>
          <w:numId w:val="1"/>
        </w:numPr>
        <w:spacing w:after="90" w:line="276"/>
      </w:pPr>
      <w:r>
        <w:rPr>
          <w:b/>
          <w:bCs/>
          <w:sz w:val="22"/>
          <w:szCs w:val="22"/>
        </w:rPr>
        <w:t xml:space="preserve">Constraint to note: </w:t>
      </w:r>
      <w:r>
        <w:rPr>
          <w:sz w:val="22"/>
          <w:szCs w:val="22"/>
        </w:rPr>
        <w:t xml:space="preserve">The core trajectory-deviation model (comparing live driver data against a per-corner reference line) will require actual track data collection before it can be calibrated reliably; a simplified fixed lateral-g threshold is a technically feasible fallback for an initial prototype if time is limited.</w:t>
      </w:r>
    </w:p>
    <w:p>
      <w:pPr>
        <w:pStyle w:val="Heading1"/>
        <w:spacing w:after="140" w:before="320"/>
      </w:pPr>
      <w:r>
        <w:rPr>
          <w:b/>
          <w:bCs/>
          <w:color w:val="1F3B57"/>
          <w:sz w:val="28"/>
          <w:szCs w:val="28"/>
        </w:rPr>
        <w:t xml:space="preserve">3. Operational Feasibility</w:t>
      </w:r>
    </w:p>
    <w:p>
      <w:pPr>
        <w:spacing w:after="150" w:line="288"/>
        <w:jc w:val="both"/>
      </w:pPr>
      <w:r>
        <w:rPr>
          <w:sz w:val="22"/>
          <w:szCs w:val="22"/>
        </w:rPr>
        <w:t xml:space="preserve">Operational feasibility assesses whether the system will be accepted and usable in a real karting training environment by its intended users.</w:t>
      </w:r>
    </w:p>
    <w:p>
      <w:pPr>
        <w:pStyle w:val="ListParagraph"/>
        <w:numPr>
          <w:ilvl w:val="0"/>
          <w:numId w:val="1"/>
        </w:numPr>
        <w:spacing w:after="90" w:line="276"/>
      </w:pPr>
      <w:r>
        <w:rPr>
          <w:b/>
          <w:bCs/>
          <w:sz w:val="22"/>
          <w:szCs w:val="22"/>
        </w:rPr>
        <w:t xml:space="preserve">Current process gap: </w:t>
      </w:r>
      <w:r>
        <w:rPr>
          <w:sz w:val="22"/>
          <w:szCs w:val="22"/>
        </w:rPr>
        <w:t xml:space="preserve">Feedback to drivers is presently given almost entirely after a session; stakeholder consultation (a karting academy team manager) confirmed this as a genuine limitation in current training practice, supporting the operational case for a real-time feedback layer.</w:t>
      </w:r>
    </w:p>
    <w:p>
      <w:pPr>
        <w:pStyle w:val="ListParagraph"/>
        <w:numPr>
          <w:ilvl w:val="0"/>
          <w:numId w:val="1"/>
        </w:numPr>
        <w:spacing w:after="90" w:line="276"/>
      </w:pPr>
      <w:r>
        <w:rPr>
          <w:b/>
          <w:bCs/>
          <w:sz w:val="22"/>
          <w:szCs w:val="22"/>
        </w:rPr>
        <w:t xml:space="preserve">User acceptance: </w:t>
      </w:r>
      <w:r>
        <w:rPr>
          <w:sz w:val="22"/>
          <w:szCs w:val="22"/>
        </w:rPr>
        <w:t xml:space="preserve">Preliminary stakeholder feedback indicates drivers are likely to accept a sensor-equipped glove, provided it remains lightweight and does not interfere with steering-wheel grip, and coaches see clear value in live biometric visibility for pit/rest decisions.</w:t>
      </w:r>
    </w:p>
    <w:p>
      <w:pPr>
        <w:pStyle w:val="ListParagraph"/>
        <w:numPr>
          <w:ilvl w:val="0"/>
          <w:numId w:val="1"/>
        </w:numPr>
        <w:spacing w:after="90" w:line="276"/>
      </w:pPr>
      <w:r>
        <w:rPr>
          <w:b/>
          <w:bCs/>
          <w:sz w:val="22"/>
          <w:szCs w:val="22"/>
        </w:rPr>
        <w:t xml:space="preserve">Fit with existing workflow: </w:t>
      </w:r>
      <w:r>
        <w:rPr>
          <w:sz w:val="22"/>
          <w:szCs w:val="22"/>
        </w:rPr>
        <w:t xml:space="preserve">The proposed dual-mode design (Safety Mode for beginners, Performance Mode for advanced drivers) aligns with how academies already differentiate training for drivers at different skill levels, rather than requiring a change in existing coaching structure.</w:t>
      </w:r>
    </w:p>
    <w:p>
      <w:pPr>
        <w:pStyle w:val="ListParagraph"/>
        <w:numPr>
          <w:ilvl w:val="0"/>
          <w:numId w:val="1"/>
        </w:numPr>
        <w:spacing w:after="90" w:line="276"/>
      </w:pPr>
      <w:r>
        <w:rPr>
          <w:b/>
          <w:bCs/>
          <w:sz w:val="22"/>
          <w:szCs w:val="22"/>
        </w:rPr>
        <w:t xml:space="preserve">Risk factor: </w:t>
      </w:r>
      <w:r>
        <w:rPr>
          <w:sz w:val="22"/>
          <w:szCs w:val="22"/>
        </w:rPr>
        <w:t xml:space="preserve">Because feedback is delivered while the driver is actively on track, any alerting mechanism must be validated for latency and false-positive rate before wider use, to avoid distracting or misleading the driver during live sessions.</w:t>
      </w:r>
    </w:p>
    <w:p>
      <w:pPr>
        <w:pStyle w:val="Heading1"/>
        <w:spacing w:after="140" w:before="320"/>
      </w:pPr>
      <w:r>
        <w:rPr>
          <w:b/>
          <w:bCs/>
          <w:color w:val="1F3B57"/>
          <w:sz w:val="28"/>
          <w:szCs w:val="28"/>
        </w:rPr>
        <w:t xml:space="preserve">4. Economic Feasibility</w:t>
      </w:r>
    </w:p>
    <w:p>
      <w:pPr>
        <w:spacing w:after="150" w:line="288"/>
        <w:jc w:val="both"/>
      </w:pPr>
      <w:r>
        <w:rPr>
          <w:sz w:val="22"/>
          <w:szCs w:val="22"/>
        </w:rPr>
        <w:t xml:space="preserve">Economic feasibility considers whether the cost of developing and maintaining the system is reasonable relative to its expected benefit, particularly at the prototype stage of an academic project.</w:t>
      </w:r>
    </w:p>
    <w:p>
      <w:pPr>
        <w:pStyle w:val="Heading2"/>
        <w:spacing w:after="100" w:before="220"/>
      </w:pPr>
      <w:r>
        <w:rPr>
          <w:b/>
          <w:bCs/>
          <w:color w:val="1F3B57"/>
          <w:sz w:val="24"/>
          <w:szCs w:val="24"/>
        </w:rPr>
        <w:t xml:space="preserve">4.1 Estimated Prototype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5%"/>
            <w:shd w:fill="1F3B57"/>
            <w:tcMar>
              <w:top w:type="dxa" w:w="100"/>
              <w:left w:type="dxa" w:w="120"/>
              <w:bottom w:type="dxa" w:w="100"/>
              <w:right w:type="dxa" w:w="120"/>
            </w:tcMar>
          </w:tcPr>
          <w:p>
            <w:r>
              <w:rPr>
                <w:b/>
                <w:bCs/>
                <w:color w:val="FFFFFF"/>
                <w:sz w:val="21"/>
                <w:szCs w:val="21"/>
              </w:rPr>
              <w:t xml:space="preserve">Component</w:t>
            </w:r>
          </w:p>
        </w:tc>
        <w:tc>
          <w:tcPr>
            <w:tcW w:type="pct" w:w="25%"/>
            <w:shd w:fill="1F3B57"/>
            <w:tcMar>
              <w:top w:type="dxa" w:w="100"/>
              <w:left w:type="dxa" w:w="120"/>
              <w:bottom w:type="dxa" w:w="100"/>
              <w:right w:type="dxa" w:w="120"/>
            </w:tcMar>
          </w:tcPr>
          <w:p>
            <w:r>
              <w:rPr>
                <w:b/>
                <w:bCs/>
                <w:color w:val="FFFFFF"/>
                <w:sz w:val="21"/>
                <w:szCs w:val="21"/>
              </w:rPr>
              <w:t xml:space="preserve">Approx. Cost (₹)</w:t>
            </w:r>
          </w:p>
        </w:tc>
        <w:tc>
          <w:tcPr>
            <w:tcW w:type="pct" w:w="30%"/>
            <w:shd w:fill="1F3B57"/>
            <w:tcMar>
              <w:top w:type="dxa" w:w="100"/>
              <w:left w:type="dxa" w:w="120"/>
              <w:bottom w:type="dxa" w:w="100"/>
              <w:right w:type="dxa" w:w="120"/>
            </w:tcMar>
          </w:tcPr>
          <w:p>
            <w:r>
              <w:rPr>
                <w:b/>
                <w:bCs/>
                <w:color w:val="FFFFFF"/>
                <w:sz w:val="21"/>
                <w:szCs w:val="21"/>
              </w:rPr>
              <w:t xml:space="preserve">Notes</w:t>
            </w:r>
          </w:p>
        </w:tc>
      </w:tr>
      <w:tr>
        <w:tc>
          <w:tcPr>
            <w:tcW w:type="pct" w:w="45%"/>
            <w:tcMar>
              <w:top w:type="dxa" w:w="100"/>
              <w:left w:type="dxa" w:w="120"/>
              <w:bottom w:type="dxa" w:w="100"/>
              <w:right w:type="dxa" w:w="120"/>
            </w:tcMar>
          </w:tcPr>
          <w:p>
            <w:r>
              <w:rPr>
                <w:b w:val="false"/>
                <w:bCs w:val="false"/>
                <w:color w:val="000000"/>
                <w:sz w:val="21"/>
                <w:szCs w:val="21"/>
              </w:rPr>
              <w:t xml:space="preserve">Kart/Track Sensor Unit (ESP32 + IMU + GPS + enclosure)</w:t>
            </w:r>
          </w:p>
        </w:tc>
        <w:tc>
          <w:tcPr>
            <w:tcW w:type="pct" w:w="25%"/>
            <w:tcMar>
              <w:top w:type="dxa" w:w="100"/>
              <w:left w:type="dxa" w:w="120"/>
              <w:bottom w:type="dxa" w:w="100"/>
              <w:right w:type="dxa" w:w="120"/>
            </w:tcMar>
          </w:tcPr>
          <w:p>
            <w:r>
              <w:rPr>
                <w:b w:val="false"/>
                <w:bCs w:val="false"/>
                <w:color w:val="000000"/>
                <w:sz w:val="21"/>
                <w:szCs w:val="21"/>
              </w:rPr>
              <w:t xml:space="preserve">1,400 – 2,100</w:t>
            </w:r>
          </w:p>
        </w:tc>
        <w:tc>
          <w:tcPr>
            <w:tcW w:type="pct" w:w="30%"/>
            <w:tcMar>
              <w:top w:type="dxa" w:w="100"/>
              <w:left w:type="dxa" w:w="120"/>
              <w:bottom w:type="dxa" w:w="100"/>
              <w:right w:type="dxa" w:w="120"/>
            </w:tcMar>
          </w:tcPr>
          <w:p>
            <w:r>
              <w:rPr>
                <w:b w:val="false"/>
                <w:bCs w:val="false"/>
                <w:color w:val="000000"/>
                <w:sz w:val="21"/>
                <w:szCs w:val="21"/>
              </w:rPr>
              <w:t xml:space="preserve">Mounted on kart chassis</w:t>
            </w:r>
          </w:p>
        </w:tc>
      </w:tr>
      <w:tr>
        <w:tc>
          <w:tcPr>
            <w:tcW w:type="pct" w:w="45%"/>
            <w:tcMar>
              <w:top w:type="dxa" w:w="100"/>
              <w:left w:type="dxa" w:w="120"/>
              <w:bottom w:type="dxa" w:w="100"/>
              <w:right w:type="dxa" w:w="120"/>
            </w:tcMar>
          </w:tcPr>
          <w:p>
            <w:r>
              <w:rPr>
                <w:b w:val="false"/>
                <w:bCs w:val="false"/>
                <w:color w:val="000000"/>
                <w:sz w:val="21"/>
                <w:szCs w:val="21"/>
              </w:rPr>
              <w:t xml:space="preserve">Glove Sensor &amp; Feedback Unit (ESP32 + vibration motor + NeoPixels)</w:t>
            </w:r>
          </w:p>
        </w:tc>
        <w:tc>
          <w:tcPr>
            <w:tcW w:type="pct" w:w="25%"/>
            <w:tcMar>
              <w:top w:type="dxa" w:w="100"/>
              <w:left w:type="dxa" w:w="120"/>
              <w:bottom w:type="dxa" w:w="100"/>
              <w:right w:type="dxa" w:w="120"/>
            </w:tcMar>
          </w:tcPr>
          <w:p>
            <w:r>
              <w:rPr>
                <w:b w:val="false"/>
                <w:bCs w:val="false"/>
                <w:color w:val="000000"/>
                <w:sz w:val="21"/>
                <w:szCs w:val="21"/>
              </w:rPr>
              <w:t xml:space="preserve">800 – 1,350</w:t>
            </w:r>
          </w:p>
        </w:tc>
        <w:tc>
          <w:tcPr>
            <w:tcW w:type="pct" w:w="30%"/>
            <w:tcMar>
              <w:top w:type="dxa" w:w="100"/>
              <w:left w:type="dxa" w:w="120"/>
              <w:bottom w:type="dxa" w:w="100"/>
              <w:right w:type="dxa" w:w="120"/>
            </w:tcMar>
          </w:tcPr>
          <w:p>
            <w:r>
              <w:rPr>
                <w:b w:val="false"/>
                <w:bCs w:val="false"/>
                <w:color w:val="000000"/>
                <w:sz w:val="21"/>
                <w:szCs w:val="21"/>
              </w:rPr>
              <w:t xml:space="preserve">Worn by driver</w:t>
            </w:r>
          </w:p>
        </w:tc>
      </w:tr>
      <w:tr>
        <w:tc>
          <w:tcPr>
            <w:tcW w:type="pct" w:w="45%"/>
            <w:tcMar>
              <w:top w:type="dxa" w:w="100"/>
              <w:left w:type="dxa" w:w="120"/>
              <w:bottom w:type="dxa" w:w="100"/>
              <w:right w:type="dxa" w:w="120"/>
            </w:tcMar>
          </w:tcPr>
          <w:p>
            <w:r>
              <w:rPr>
                <w:b w:val="false"/>
                <w:bCs w:val="false"/>
                <w:color w:val="000000"/>
                <w:sz w:val="21"/>
                <w:szCs w:val="21"/>
              </w:rPr>
              <w:t xml:space="preserve">Biometric Add-on (HR/SpO2 + breathing sensor)</w:t>
            </w:r>
          </w:p>
        </w:tc>
        <w:tc>
          <w:tcPr>
            <w:tcW w:type="pct" w:w="25%"/>
            <w:tcMar>
              <w:top w:type="dxa" w:w="100"/>
              <w:left w:type="dxa" w:w="120"/>
              <w:bottom w:type="dxa" w:w="100"/>
              <w:right w:type="dxa" w:w="120"/>
            </w:tcMar>
          </w:tcPr>
          <w:p>
            <w:r>
              <w:rPr>
                <w:b w:val="false"/>
                <w:bCs w:val="false"/>
                <w:color w:val="000000"/>
                <w:sz w:val="21"/>
                <w:szCs w:val="21"/>
              </w:rPr>
              <w:t xml:space="preserve">550 – 1,000</w:t>
            </w:r>
          </w:p>
        </w:tc>
        <w:tc>
          <w:tcPr>
            <w:tcW w:type="pct" w:w="30%"/>
            <w:tcMar>
              <w:top w:type="dxa" w:w="100"/>
              <w:left w:type="dxa" w:w="120"/>
              <w:bottom w:type="dxa" w:w="100"/>
              <w:right w:type="dxa" w:w="120"/>
            </w:tcMar>
          </w:tcPr>
          <w:p>
            <w:r>
              <w:rPr>
                <w:b w:val="false"/>
                <w:bCs w:val="false"/>
                <w:color w:val="000000"/>
                <w:sz w:val="21"/>
                <w:szCs w:val="21"/>
              </w:rPr>
              <w:t xml:space="preserve">Optional module</w:t>
            </w:r>
          </w:p>
        </w:tc>
      </w:tr>
      <w:tr>
        <w:tc>
          <w:tcPr>
            <w:tcW w:type="pct" w:w="45%"/>
            <w:tcMar>
              <w:top w:type="dxa" w:w="100"/>
              <w:left w:type="dxa" w:w="120"/>
              <w:bottom w:type="dxa" w:w="100"/>
              <w:right w:type="dxa" w:w="120"/>
            </w:tcMar>
          </w:tcPr>
          <w:p>
            <w:r>
              <w:rPr>
                <w:b w:val="false"/>
                <w:bCs w:val="false"/>
                <w:color w:val="000000"/>
                <w:sz w:val="21"/>
                <w:szCs w:val="21"/>
              </w:rPr>
              <w:t xml:space="preserve">Software hosting (prototype stage)</w:t>
            </w:r>
          </w:p>
        </w:tc>
        <w:tc>
          <w:tcPr>
            <w:tcW w:type="pct" w:w="25%"/>
            <w:tcMar>
              <w:top w:type="dxa" w:w="100"/>
              <w:left w:type="dxa" w:w="120"/>
              <w:bottom w:type="dxa" w:w="100"/>
              <w:right w:type="dxa" w:w="120"/>
            </w:tcMar>
          </w:tcPr>
          <w:p>
            <w:r>
              <w:rPr>
                <w:b w:val="false"/>
                <w:bCs w:val="false"/>
                <w:color w:val="000000"/>
                <w:sz w:val="21"/>
                <w:szCs w:val="21"/>
              </w:rPr>
              <w:t xml:space="preserve">0</w:t>
            </w:r>
          </w:p>
        </w:tc>
        <w:tc>
          <w:tcPr>
            <w:tcW w:type="pct" w:w="30%"/>
            <w:tcMar>
              <w:top w:type="dxa" w:w="100"/>
              <w:left w:type="dxa" w:w="120"/>
              <w:bottom w:type="dxa" w:w="100"/>
              <w:right w:type="dxa" w:w="120"/>
            </w:tcMar>
          </w:tcPr>
          <w:p>
            <w:r>
              <w:rPr>
                <w:b w:val="false"/>
                <w:bCs w:val="false"/>
                <w:color w:val="000000"/>
                <w:sz w:val="21"/>
                <w:szCs w:val="21"/>
              </w:rPr>
              <w:t xml:space="preserve">Free-tier hosting sufficient</w:t>
            </w:r>
          </w:p>
        </w:tc>
      </w:tr>
    </w:tbl>
    <w:p>
      <w:pPr>
        <w:spacing w:after="150" w:before="120"/>
      </w:pPr>
      <w:r>
        <w:rPr>
          <w:sz w:val="22"/>
          <w:szCs w:val="22"/>
        </w:rPr>
        <w:t xml:space="preserve">A single complete prototype set (kart unit + glove + biometric add-on) is estimated at approximately ₹2,750 – ₹4,450, which is low relative to typical academic project budgets and does not require specialised or imported components.</w:t>
      </w:r>
    </w:p>
    <w:p>
      <w:pPr>
        <w:pStyle w:val="Heading2"/>
        <w:spacing w:after="100" w:before="220"/>
      </w:pPr>
      <w:r>
        <w:rPr>
          <w:b/>
          <w:bCs/>
          <w:color w:val="1F3B57"/>
          <w:sz w:val="24"/>
          <w:szCs w:val="24"/>
        </w:rPr>
        <w:t xml:space="preserve">4.2 Development and Maintenance Cost</w:t>
      </w:r>
    </w:p>
    <w:p>
      <w:pPr>
        <w:pStyle w:val="ListParagraph"/>
        <w:numPr>
          <w:ilvl w:val="0"/>
          <w:numId w:val="1"/>
        </w:numPr>
        <w:spacing w:after="80" w:line="276"/>
      </w:pPr>
      <w:r>
        <w:rPr>
          <w:sz w:val="22"/>
          <w:szCs w:val="22"/>
        </w:rPr>
        <w:t xml:space="preserve">Software development cost: negligible beyond development time, since the frontend/backend stack uses open-source frameworks (React, Django) and free-tier hosting is sufficient at prototype scale.</w:t>
      </w:r>
    </w:p>
    <w:p>
      <w:pPr>
        <w:pStyle w:val="ListParagraph"/>
        <w:numPr>
          <w:ilvl w:val="0"/>
          <w:numId w:val="1"/>
        </w:numPr>
        <w:spacing w:after="80" w:line="276"/>
      </w:pPr>
      <w:r>
        <w:rPr>
          <w:sz w:val="22"/>
          <w:szCs w:val="22"/>
        </w:rPr>
        <w:t xml:space="preserve">Maintenance cost: primarily firmware updates and occasional sensor replacement/calibration; no recurring licensing costs are anticipated.</w:t>
      </w:r>
    </w:p>
    <w:p>
      <w:pPr>
        <w:pStyle w:val="ListParagraph"/>
        <w:numPr>
          <w:ilvl w:val="0"/>
          <w:numId w:val="1"/>
        </w:numPr>
        <w:spacing w:after="80" w:line="276"/>
      </w:pPr>
      <w:r>
        <w:rPr>
          <w:sz w:val="22"/>
          <w:szCs w:val="22"/>
        </w:rPr>
        <w:t xml:space="preserve">Scaling cost: cost scales roughly linearly with the number of driver/kart units required (e.g., approximately ₹8,000–13,000 for three full sets), which is manageable for a small-scale academy pilot.</w:t>
      </w:r>
    </w:p>
    <w:p>
      <w:pPr>
        <w:pStyle w:val="Heading2"/>
        <w:spacing w:after="100" w:before="220"/>
      </w:pPr>
      <w:r>
        <w:rPr>
          <w:b/>
          <w:bCs/>
          <w:color w:val="1F3B57"/>
          <w:sz w:val="24"/>
          <w:szCs w:val="24"/>
        </w:rPr>
        <w:t xml:space="preserve">4.3 Expected Benefit</w:t>
      </w:r>
    </w:p>
    <w:p>
      <w:pPr>
        <w:spacing w:after="150" w:line="288"/>
        <w:jc w:val="both"/>
      </w:pPr>
      <w:r>
        <w:rPr>
          <w:sz w:val="22"/>
          <w:szCs w:val="22"/>
        </w:rPr>
        <w:t xml:space="preserve">The primary benefit is a shift from purely retrospective coaching to real-time, in-session driver feedback, alongside live biometric visibility for the coaching team — both of which stakeholder consultation indicated as valued and currently unmet needs, supporting a reasonable expectation of benefit relative to the modest prototype cost.</w:t>
      </w:r>
    </w:p>
    <w:p>
      <w:pPr>
        <w:pStyle w:val="Heading1"/>
        <w:spacing w:after="140" w:before="320"/>
      </w:pPr>
      <w:r>
        <w:rPr>
          <w:b/>
          <w:bCs/>
          <w:color w:val="1F3B57"/>
          <w:sz w:val="28"/>
          <w:szCs w:val="28"/>
        </w:rPr>
        <w:t xml:space="preserve">5. Recommendation</w:t>
      </w:r>
    </w:p>
    <w:p>
      <w:pPr>
        <w:spacing w:after="150" w:line="288"/>
        <w:jc w:val="both"/>
      </w:pPr>
      <w:r>
        <w:rPr>
          <w:sz w:val="22"/>
          <w:szCs w:val="22"/>
        </w:rPr>
        <w:t xml:space="preserve">Based on the technical, operational, and economic analysis above, the proposed system is assessed as feasible to proceed to detailed design and prototype development. Technical risk is low given the maturity of the chosen components and existing skill alignment; operational acceptance is supported by preliminary stakeholder feedback; and the estimated cost is modest and appropriate for an academic project scope. It is recommended that development proceed in phases — beginning with a fixed-threshold glove prototype, followed by GPS-based per-corner calibration, and finally biometric and dashboard integration — to manage risk incrementally rather than attempting the full system in a single phase.</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2026-07-28T10:47:30.064Z</dcterms:created>
  <dcterms:modified xsi:type="dcterms:W3CDTF">2026-07-28T10:47:30.081Z</dcterms:modified>
</cp:coreProperties>
</file>

<file path=docProps/custom.xml><?xml version="1.0" encoding="utf-8"?>
<Properties xmlns="http://schemas.openxmlformats.org/officeDocument/2006/custom-properties" xmlns:vt="http://schemas.openxmlformats.org/officeDocument/2006/docPropsVTypes"/>
</file>