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rFonts w:ascii="Garamond" w:cs="Garamond" w:eastAsia="Garamond" w:hAnsi="Garamond"/>
          <w:b/>
          <w:bCs/>
          <w:color w:val="3E1C00"/>
          <w:sz w:val="80"/>
          <w:szCs w:val="80"/>
        </w:rPr>
        <w:t xml:space="preserve">CHOCOLATE SALES</w:t>
      </w:r>
    </w:p>
    <w:p>
      <w:pPr>
        <w:spacing w:before="0" w:after="60"/>
        <w:jc w:val="center"/>
      </w:pPr>
      <w:r>
        <w:rPr>
          <w:rFonts w:ascii="Garamond" w:cs="Garamond" w:eastAsia="Garamond" w:hAnsi="Garamond"/>
          <w:b/>
          <w:bCs/>
          <w:color w:val="7B3F00"/>
          <w:sz w:val="56"/>
          <w:szCs w:val="56"/>
        </w:rPr>
        <w:t xml:space="preserve">INTELLIGENCE REPORT</w:t>
      </w:r>
    </w:p>
    <w:p>
      <w:pPr>
        <w:spacing w:before="0" w:after="40"/>
        <w:jc w:val="center"/>
      </w:pPr>
      <w:r>
        <w:rPr>
          <w:rFonts w:ascii="Garamond" w:cs="Garamond" w:eastAsia="Garamond" w:hAnsi="Garamond"/>
          <w:color w:val="C68642"/>
          <w:sz w:val="24"/>
          <w:szCs w:val="24"/>
        </w:rPr>
        <w:t xml:space="preserve">────────────────────────────────────────</w:t>
      </w:r>
    </w:p>
    <w:p>
      <w:pPr>
        <w:spacing w:before="40" w:after="60"/>
        <w:jc w:val="center"/>
      </w:pPr>
      <w:r>
        <w:rPr>
          <w:rFonts w:ascii="Garamond" w:cs="Garamond" w:eastAsia="Garamond" w:hAnsi="Garamond"/>
          <w:color w:val="555555"/>
          <w:sz w:val="28"/>
          <w:szCs w:val="28"/>
        </w:rPr>
        <w:t xml:space="preserve">Comprehensive Business Analytics &amp; Strategic Insights</w:t>
      </w:r>
    </w:p>
    <w:p>
      <w:pPr>
        <w:spacing w:before="80"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none" w:color="FFFFFF" w:sz="0"/>
              <w:left w:val="none" w:color="FFFFFF" w:sz="0"/>
              <w:bottom w:val="none" w:color="FFFFFF" w:sz="0"/>
              <w:right w:val="none" w:color="FFFFFF" w:sz="0"/>
            </w:tcBorders>
            <w:shd w:fill="FDF6EC" w:val="clear"/>
            <w:tcMar>
              <w:top w:type="dxa" w:w="180"/>
              <w:left w:type="dxa" w:w="200"/>
              <w:bottom w:type="dxa" w:w="180"/>
              <w:right w:type="dxa" w:w="200"/>
            </w:tcMar>
          </w:tcPr>
          <w:p>
            <w:pPr>
              <w:jc w:val="center"/>
            </w:pPr>
            <w:r>
              <w:rPr>
                <w:rFonts w:ascii="Garamond" w:cs="Garamond" w:eastAsia="Garamond" w:hAnsi="Garamond"/>
                <w:b/>
                <w:bCs/>
                <w:color w:val="3E1C00"/>
                <w:sz w:val="52"/>
                <w:szCs w:val="52"/>
              </w:rPr>
              <w:t xml:space="preserve">50,000</w:t>
            </w:r>
          </w:p>
          <w:p>
            <w:pPr>
              <w:jc w:val="center"/>
            </w:pPr>
            <w:r>
              <w:rPr>
                <w:rFonts w:ascii="Garamond" w:cs="Garamond" w:eastAsia="Garamond" w:hAnsi="Garamond"/>
                <w:color w:val="7B3F00"/>
                <w:sz w:val="20"/>
                <w:szCs w:val="20"/>
              </w:rPr>
              <w:t xml:space="preserve">Customers</w:t>
            </w:r>
          </w:p>
        </w:tc>
        <w:tc>
          <w:tcPr>
            <w:tcW w:type="dxa" w:w="2430"/>
            <w:tcBorders>
              <w:top w:val="none" w:color="FFFFFF" w:sz="0"/>
              <w:left w:val="none" w:color="FFFFFF" w:sz="0"/>
              <w:bottom w:val="none" w:color="FFFFFF" w:sz="0"/>
              <w:right w:val="none" w:color="FFFFFF" w:sz="0"/>
            </w:tcBorders>
            <w:shd w:fill="FDF6EC" w:val="clear"/>
            <w:tcMar>
              <w:top w:type="dxa" w:w="180"/>
              <w:left w:type="dxa" w:w="200"/>
              <w:bottom w:type="dxa" w:w="180"/>
              <w:right w:type="dxa" w:w="200"/>
            </w:tcMar>
          </w:tcPr>
          <w:p>
            <w:pPr>
              <w:jc w:val="center"/>
            </w:pPr>
            <w:r>
              <w:rPr>
                <w:rFonts w:ascii="Garamond" w:cs="Garamond" w:eastAsia="Garamond" w:hAnsi="Garamond"/>
                <w:b/>
                <w:bCs/>
                <w:color w:val="3E1C00"/>
                <w:sz w:val="52"/>
                <w:szCs w:val="52"/>
              </w:rPr>
              <w:t xml:space="preserve">200</w:t>
            </w:r>
          </w:p>
          <w:p>
            <w:pPr>
              <w:jc w:val="center"/>
            </w:pPr>
            <w:r>
              <w:rPr>
                <w:rFonts w:ascii="Garamond" w:cs="Garamond" w:eastAsia="Garamond" w:hAnsi="Garamond"/>
                <w:color w:val="7B3F00"/>
                <w:sz w:val="20"/>
                <w:szCs w:val="20"/>
              </w:rPr>
              <w:t xml:space="preserve">Products</w:t>
            </w:r>
          </w:p>
        </w:tc>
        <w:tc>
          <w:tcPr>
            <w:tcW w:type="dxa" w:w="2430"/>
            <w:tcBorders>
              <w:top w:val="none" w:color="FFFFFF" w:sz="0"/>
              <w:left w:val="none" w:color="FFFFFF" w:sz="0"/>
              <w:bottom w:val="none" w:color="FFFFFF" w:sz="0"/>
              <w:right w:val="none" w:color="FFFFFF" w:sz="0"/>
            </w:tcBorders>
            <w:shd w:fill="FDF6EC" w:val="clear"/>
            <w:tcMar>
              <w:top w:type="dxa" w:w="180"/>
              <w:left w:type="dxa" w:w="200"/>
              <w:bottom w:type="dxa" w:w="180"/>
              <w:right w:type="dxa" w:w="200"/>
            </w:tcMar>
          </w:tcPr>
          <w:p>
            <w:pPr>
              <w:jc w:val="center"/>
            </w:pPr>
            <w:r>
              <w:rPr>
                <w:rFonts w:ascii="Garamond" w:cs="Garamond" w:eastAsia="Garamond" w:hAnsi="Garamond"/>
                <w:b/>
                <w:bCs/>
                <w:color w:val="3E1C00"/>
                <w:sz w:val="52"/>
                <w:szCs w:val="52"/>
              </w:rPr>
              <w:t xml:space="preserve">100</w:t>
            </w:r>
          </w:p>
          <w:p>
            <w:pPr>
              <w:jc w:val="center"/>
            </w:pPr>
            <w:r>
              <w:rPr>
                <w:rFonts w:ascii="Garamond" w:cs="Garamond" w:eastAsia="Garamond" w:hAnsi="Garamond"/>
                <w:color w:val="7B3F00"/>
                <w:sz w:val="20"/>
                <w:szCs w:val="20"/>
              </w:rPr>
              <w:t xml:space="preserve">Stores</w:t>
            </w:r>
          </w:p>
        </w:tc>
        <w:tc>
          <w:tcPr>
            <w:tcW w:type="dxa" w:w="2430"/>
            <w:tcBorders>
              <w:top w:val="none" w:color="FFFFFF" w:sz="0"/>
              <w:left w:val="none" w:color="FFFFFF" w:sz="0"/>
              <w:bottom w:val="none" w:color="FFFFFF" w:sz="0"/>
              <w:right w:val="none" w:color="FFFFFF" w:sz="0"/>
            </w:tcBorders>
            <w:shd w:fill="FDF6EC" w:val="clear"/>
            <w:tcMar>
              <w:top w:type="dxa" w:w="180"/>
              <w:left w:type="dxa" w:w="200"/>
              <w:bottom w:type="dxa" w:w="180"/>
              <w:right w:type="dxa" w:w="200"/>
            </w:tcMar>
          </w:tcPr>
          <w:p>
            <w:pPr>
              <w:jc w:val="center"/>
            </w:pPr>
            <w:r>
              <w:rPr>
                <w:rFonts w:ascii="Garamond" w:cs="Garamond" w:eastAsia="Garamond" w:hAnsi="Garamond"/>
                <w:b/>
                <w:bCs/>
                <w:color w:val="3E1C00"/>
                <w:sz w:val="52"/>
                <w:szCs w:val="52"/>
              </w:rPr>
              <w:t xml:space="preserve">6</w:t>
            </w:r>
          </w:p>
          <w:p>
            <w:pPr>
              <w:jc w:val="center"/>
            </w:pPr>
            <w:r>
              <w:rPr>
                <w:rFonts w:ascii="Garamond" w:cs="Garamond" w:eastAsia="Garamond" w:hAnsi="Garamond"/>
                <w:color w:val="7B3F00"/>
                <w:sz w:val="20"/>
                <w:szCs w:val="20"/>
              </w:rPr>
              <w:t xml:space="preserve">Countries</w:t>
            </w:r>
          </w:p>
        </w:tc>
      </w:tr>
    </w:tbl>
    <w:p>
      <w:pPr>
        <w:spacing w:before="200" w:after="200"/>
      </w:pPr>
    </w:p>
    <w:p>
      <w:pPr>
        <w:spacing w:before="60" w:after="40"/>
        <w:jc w:val="center"/>
      </w:pPr>
      <w:r>
        <w:rPr>
          <w:rFonts w:ascii="Garamond" w:cs="Garamond" w:eastAsia="Garamond" w:hAnsi="Garamond"/>
          <w:color w:val="555555"/>
          <w:sz w:val="22"/>
          <w:szCs w:val="22"/>
        </w:rPr>
        <w:t xml:space="preserve">Fiscal Period: January 2023 – December 2024</w:t>
      </w:r>
    </w:p>
    <w:p>
      <w:pPr>
        <w:spacing w:before="0" w:after="40"/>
        <w:jc w:val="center"/>
      </w:pPr>
      <w:r>
        <w:rPr>
          <w:rFonts w:ascii="Garamond" w:cs="Garamond" w:eastAsia="Garamond" w:hAnsi="Garamond"/>
          <w:color w:val="555555"/>
          <w:sz w:val="22"/>
          <w:szCs w:val="22"/>
        </w:rPr>
        <w:t xml:space="preserve">Prepared by: Data Analytics Division</w:t>
      </w:r>
    </w:p>
    <w:p>
      <w:pPr>
        <w:spacing w:before="0" w:after="40"/>
        <w:jc w:val="center"/>
      </w:pPr>
      <w:r>
        <w:rPr>
          <w:rFonts w:ascii="Garamond" w:cs="Garamond" w:eastAsia="Garamond" w:hAnsi="Garamond"/>
          <w:b/>
          <w:bCs/>
          <w:color w:val="7B3F00"/>
          <w:sz w:val="21"/>
          <w:szCs w:val="21"/>
        </w:rPr>
        <w:t xml:space="preserve">Classification: Confidential &amp; Proprietary</w:t>
      </w:r>
    </w:p>
    <w:p>
      <w:r>
        <w:br w:type="page"/>
      </w:r>
    </w:p>
    <w:p>
      <w:pPr>
        <w:pStyle w:val="Heading1"/>
        <w:pBdr>
          <w:bottom w:val="single" w:color="C68642" w:sz="6" w:space="4"/>
        </w:pBdr>
        <w:spacing w:before="320" w:after="140"/>
      </w:pPr>
      <w:r>
        <w:rPr>
          <w:rFonts w:ascii="Garamond" w:cs="Garamond" w:eastAsia="Garamond" w:hAnsi="Garamond"/>
          <w:b/>
          <w:bCs/>
          <w:color w:val="3E1C00"/>
          <w:sz w:val="36"/>
          <w:szCs w:val="36"/>
        </w:rPr>
        <w:t xml:space="preserve">1. Executive Summary</w:t>
      </w:r>
    </w:p>
    <w:p>
      <w:pPr>
        <w:spacing w:before="80" w:after="120"/>
        <w:jc w:val="left"/>
      </w:pPr>
      <w:r>
        <w:rPr>
          <w:rFonts w:ascii="Garamond" w:cs="Garamond" w:eastAsia="Garamond" w:hAnsi="Garamond"/>
          <w:b w:val="false"/>
          <w:bCs w:val="false"/>
          <w:color w:val="1A1A1A"/>
          <w:sz w:val="21"/>
          <w:szCs w:val="21"/>
        </w:rPr>
        <w:t xml:space="preserve">This report presents a comprehensive analysis of Chocolate Sales Co.'s commercial operations across two fiscal years (2023–2024). Drawing on data from 50,000 customer records, 200 products spanning 5 categories and 6 premium brands, 100 global store locations across 6 countries, and a 731-day transactional calendar, it delivers actionable intelligence to guide strategic planning, marketing investment, and operational optimisation.</w:t>
      </w:r>
    </w:p>
    <w:p>
      <w:pPr>
        <w:pStyle w:val="Heading2"/>
        <w:spacing w:before="240" w:after="100"/>
      </w:pPr>
      <w:r>
        <w:rPr>
          <w:rFonts w:ascii="Garamond" w:cs="Garamond" w:eastAsia="Garamond" w:hAnsi="Garamond"/>
          <w:b/>
          <w:bCs/>
          <w:color w:val="7B3F00"/>
          <w:sz w:val="28"/>
          <w:szCs w:val="28"/>
        </w:rPr>
        <w:t xml:space="preserve">Key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C68642" w:sz="4"/>
              <w:right w:val="none" w:color="FFFFFF" w:sz="0"/>
            </w:tcBorders>
            <w:shd w:fill="F5E6C8" w:val="clear"/>
            <w:tcMar>
              <w:top w:type="dxa" w:w="160"/>
              <w:left w:type="dxa" w:w="180"/>
              <w:bottom w:type="dxa" w:w="160"/>
              <w:right w:type="dxa" w:w="180"/>
            </w:tcMar>
          </w:tcPr>
          <w:p>
            <w:pPr>
              <w:spacing w:before="0" w:after="40"/>
              <w:jc w:val="center"/>
            </w:pPr>
            <w:r>
              <w:rPr>
                <w:rFonts w:ascii="Garamond" w:cs="Garamond" w:eastAsia="Garamond" w:hAnsi="Garamond"/>
                <w:b/>
                <w:bCs/>
                <w:color w:val="3E1C00"/>
                <w:sz w:val="52"/>
                <w:szCs w:val="52"/>
              </w:rPr>
              <w:t xml:space="preserve">50,000</w:t>
            </w:r>
          </w:p>
          <w:p>
            <w:pPr>
              <w:spacing w:before="0" w:after="20"/>
              <w:jc w:val="center"/>
            </w:pPr>
            <w:r>
              <w:rPr>
                <w:rFonts w:ascii="Garamond" w:cs="Garamond" w:eastAsia="Garamond" w:hAnsi="Garamond"/>
                <w:b/>
                <w:bCs/>
                <w:color w:val="7B3F00"/>
                <w:sz w:val="18"/>
                <w:szCs w:val="18"/>
              </w:rPr>
              <w:t xml:space="preserve">Total Customers</w:t>
            </w:r>
          </w:p>
          <w:p>
            <w:pPr>
              <w:spacing w:before="0" w:after="0"/>
              <w:jc w:val="center"/>
            </w:pPr>
            <w:r>
              <w:rPr>
                <w:rFonts w:ascii="Garamond" w:cs="Garamond" w:eastAsia="Garamond" w:hAnsi="Garamond"/>
                <w:color w:val="555555"/>
                <w:sz w:val="17"/>
                <w:szCs w:val="17"/>
              </w:rPr>
              <w:t xml:space="preserve">Balanced gender split</w:t>
            </w:r>
          </w:p>
        </w:tc>
        <w:tc>
          <w:tcPr>
            <w:tcW w:type="dxa" w:w="2340"/>
            <w:tcBorders>
              <w:top w:val="none" w:color="FFFFFF" w:sz="0"/>
              <w:left w:val="none" w:color="FFFFFF" w:sz="0"/>
              <w:bottom w:val="single" w:color="C68642" w:sz="4"/>
              <w:right w:val="none" w:color="FFFFFF" w:sz="0"/>
            </w:tcBorders>
            <w:shd w:fill="F5E6C8" w:val="clear"/>
            <w:tcMar>
              <w:top w:type="dxa" w:w="160"/>
              <w:left w:type="dxa" w:w="180"/>
              <w:bottom w:type="dxa" w:w="160"/>
              <w:right w:type="dxa" w:w="180"/>
            </w:tcMar>
          </w:tcPr>
          <w:p>
            <w:pPr>
              <w:spacing w:before="0" w:after="40"/>
              <w:jc w:val="center"/>
            </w:pPr>
            <w:r>
              <w:rPr>
                <w:rFonts w:ascii="Garamond" w:cs="Garamond" w:eastAsia="Garamond" w:hAnsi="Garamond"/>
                <w:b/>
                <w:bCs/>
                <w:color w:val="3E1C00"/>
                <w:sz w:val="52"/>
                <w:szCs w:val="52"/>
              </w:rPr>
              <w:t xml:space="preserve">50.2%</w:t>
            </w:r>
          </w:p>
          <w:p>
            <w:pPr>
              <w:spacing w:before="0" w:after="20"/>
              <w:jc w:val="center"/>
            </w:pPr>
            <w:r>
              <w:rPr>
                <w:rFonts w:ascii="Garamond" w:cs="Garamond" w:eastAsia="Garamond" w:hAnsi="Garamond"/>
                <w:b/>
                <w:bCs/>
                <w:color w:val="7B3F00"/>
                <w:sz w:val="18"/>
                <w:szCs w:val="18"/>
              </w:rPr>
              <w:t xml:space="preserve">Loyalty Members</w:t>
            </w:r>
          </w:p>
          <w:p>
            <w:pPr>
              <w:spacing w:before="0" w:after="0"/>
              <w:jc w:val="center"/>
            </w:pPr>
            <w:r>
              <w:rPr>
                <w:rFonts w:ascii="Garamond" w:cs="Garamond" w:eastAsia="Garamond" w:hAnsi="Garamond"/>
                <w:color w:val="555555"/>
                <w:sz w:val="17"/>
                <w:szCs w:val="17"/>
              </w:rPr>
              <w:t xml:space="preserve">25,104 active members</w:t>
            </w:r>
          </w:p>
        </w:tc>
        <w:tc>
          <w:tcPr>
            <w:tcW w:type="dxa" w:w="2340"/>
            <w:tcBorders>
              <w:top w:val="none" w:color="FFFFFF" w:sz="0"/>
              <w:left w:val="none" w:color="FFFFFF" w:sz="0"/>
              <w:bottom w:val="single" w:color="C68642" w:sz="4"/>
              <w:right w:val="none" w:color="FFFFFF" w:sz="0"/>
            </w:tcBorders>
            <w:shd w:fill="F5E6C8" w:val="clear"/>
            <w:tcMar>
              <w:top w:type="dxa" w:w="160"/>
              <w:left w:type="dxa" w:w="180"/>
              <w:bottom w:type="dxa" w:w="160"/>
              <w:right w:type="dxa" w:w="180"/>
            </w:tcMar>
          </w:tcPr>
          <w:p>
            <w:pPr>
              <w:spacing w:before="0" w:after="40"/>
              <w:jc w:val="center"/>
            </w:pPr>
            <w:r>
              <w:rPr>
                <w:rFonts w:ascii="Garamond" w:cs="Garamond" w:eastAsia="Garamond" w:hAnsi="Garamond"/>
                <w:b/>
                <w:bCs/>
                <w:color w:val="3E1C00"/>
                <w:sz w:val="52"/>
                <w:szCs w:val="52"/>
              </w:rPr>
              <w:t xml:space="preserve">200 SKUs</w:t>
            </w:r>
          </w:p>
          <w:p>
            <w:pPr>
              <w:spacing w:before="0" w:after="20"/>
              <w:jc w:val="center"/>
            </w:pPr>
            <w:r>
              <w:rPr>
                <w:rFonts w:ascii="Garamond" w:cs="Garamond" w:eastAsia="Garamond" w:hAnsi="Garamond"/>
                <w:b/>
                <w:bCs/>
                <w:color w:val="7B3F00"/>
                <w:sz w:val="18"/>
                <w:szCs w:val="18"/>
              </w:rPr>
              <w:t xml:space="preserve">Product Portfolio</w:t>
            </w:r>
          </w:p>
          <w:p>
            <w:pPr>
              <w:spacing w:before="0" w:after="0"/>
              <w:jc w:val="center"/>
            </w:pPr>
            <w:r>
              <w:rPr>
                <w:rFonts w:ascii="Garamond" w:cs="Garamond" w:eastAsia="Garamond" w:hAnsi="Garamond"/>
                <w:color w:val="555555"/>
                <w:sz w:val="17"/>
                <w:szCs w:val="17"/>
              </w:rPr>
              <w:t xml:space="preserve">5 categories · 6 brands</w:t>
            </w:r>
          </w:p>
        </w:tc>
        <w:tc>
          <w:tcPr>
            <w:tcW w:type="dxa" w:w="2340"/>
            <w:tcBorders>
              <w:top w:val="none" w:color="FFFFFF" w:sz="0"/>
              <w:left w:val="none" w:color="FFFFFF" w:sz="0"/>
              <w:bottom w:val="single" w:color="C68642" w:sz="4"/>
              <w:right w:val="none" w:color="FFFFFF" w:sz="0"/>
            </w:tcBorders>
            <w:shd w:fill="F5E6C8" w:val="clear"/>
            <w:tcMar>
              <w:top w:type="dxa" w:w="160"/>
              <w:left w:type="dxa" w:w="180"/>
              <w:bottom w:type="dxa" w:w="160"/>
              <w:right w:type="dxa" w:w="180"/>
            </w:tcMar>
          </w:tcPr>
          <w:p>
            <w:pPr>
              <w:spacing w:before="0" w:after="40"/>
              <w:jc w:val="center"/>
            </w:pPr>
            <w:r>
              <w:rPr>
                <w:rFonts w:ascii="Garamond" w:cs="Garamond" w:eastAsia="Garamond" w:hAnsi="Garamond"/>
                <w:b/>
                <w:bCs/>
                <w:color w:val="3E1C00"/>
                <w:sz w:val="52"/>
                <w:szCs w:val="52"/>
              </w:rPr>
              <w:t xml:space="preserve">100 Stores</w:t>
            </w:r>
          </w:p>
          <w:p>
            <w:pPr>
              <w:spacing w:before="0" w:after="20"/>
              <w:jc w:val="center"/>
            </w:pPr>
            <w:r>
              <w:rPr>
                <w:rFonts w:ascii="Garamond" w:cs="Garamond" w:eastAsia="Garamond" w:hAnsi="Garamond"/>
                <w:b/>
                <w:bCs/>
                <w:color w:val="7B3F00"/>
                <w:sz w:val="18"/>
                <w:szCs w:val="18"/>
              </w:rPr>
              <w:t xml:space="preserve">Global Footprint</w:t>
            </w:r>
          </w:p>
          <w:p>
            <w:pPr>
              <w:spacing w:before="0" w:after="0"/>
              <w:jc w:val="center"/>
            </w:pPr>
            <w:r>
              <w:rPr>
                <w:rFonts w:ascii="Garamond" w:cs="Garamond" w:eastAsia="Garamond" w:hAnsi="Garamond"/>
                <w:color w:val="555555"/>
                <w:sz w:val="17"/>
                <w:szCs w:val="17"/>
              </w:rPr>
              <w:t xml:space="preserve">6 countries · 4 channels</w:t>
            </w:r>
          </w:p>
        </w:tc>
      </w:tr>
    </w:tbl>
    <w:p>
      <w:pPr>
        <w:spacing w:before="100" w:after="60"/>
      </w:pPr>
    </w:p>
    <w:p>
      <w:pPr>
        <w:spacing w:before="80" w:after="80"/>
        <w:jc w:val="left"/>
      </w:pPr>
      <w:r>
        <w:rPr>
          <w:rFonts w:ascii="Garamond" w:cs="Garamond" w:eastAsia="Garamond" w:hAnsi="Garamond"/>
          <w:b w:val="false"/>
          <w:bCs w:val="false"/>
          <w:color w:val="1A1A1A"/>
          <w:sz w:val="21"/>
          <w:szCs w:val="21"/>
        </w:rPr>
        <w:t xml:space="preserve">The dataset covers an even two-year window and reveals consistent growth patterns, strong loyalty programme uptake, and clear opportunities in underperforming product categories and emerging markets. The SQL analytical queries embedded in the project identify revenue leaders, seasonal demand spikes, channel mix contribution, and per-customer order value evolution — each discussed in depth below.</w:t>
      </w:r>
    </w:p>
    <w:p>
      <w:pPr>
        <w:spacing w:before="60" w:after="60"/>
      </w:pPr>
    </w:p>
    <w:p>
      <w:pPr>
        <w:pStyle w:val="Heading1"/>
        <w:pBdr>
          <w:bottom w:val="single" w:color="C68642" w:sz="6" w:space="4"/>
        </w:pBdr>
        <w:spacing w:before="320" w:after="140"/>
      </w:pPr>
      <w:r>
        <w:rPr>
          <w:rFonts w:ascii="Garamond" w:cs="Garamond" w:eastAsia="Garamond" w:hAnsi="Garamond"/>
          <w:b/>
          <w:bCs/>
          <w:color w:val="3E1C00"/>
          <w:sz w:val="36"/>
          <w:szCs w:val="36"/>
        </w:rPr>
        <w:t xml:space="preserve">2. Data Architecture &amp; Methodology</w:t>
      </w:r>
    </w:p>
    <w:p>
      <w:pPr>
        <w:spacing w:before="80" w:after="80"/>
        <w:jc w:val="left"/>
      </w:pPr>
      <w:r>
        <w:rPr>
          <w:rFonts w:ascii="Garamond" w:cs="Garamond" w:eastAsia="Garamond" w:hAnsi="Garamond"/>
          <w:b w:val="false"/>
          <w:bCs w:val="false"/>
          <w:color w:val="1A1A1A"/>
          <w:sz w:val="21"/>
          <w:szCs w:val="21"/>
        </w:rPr>
        <w:t xml:space="preserve">The analytical dataset is structured as a relational star schema with the sales transaction table at its centre. Dimension tables — customers, products, stores, and calendar — radiate outward and are joined using surrogate keys, enabling multi-dimensional slicing across time, geography, product, and customer attributes.</w:t>
      </w:r>
    </w:p>
    <w:p>
      <w:pPr>
        <w:spacing w:before="60" w:after="80"/>
      </w:pPr>
    </w:p>
    <w:p>
      <w:pPr>
        <w:pStyle w:val="Heading2"/>
        <w:spacing w:before="240" w:after="100"/>
      </w:pPr>
      <w:r>
        <w:rPr>
          <w:rFonts w:ascii="Garamond" w:cs="Garamond" w:eastAsia="Garamond" w:hAnsi="Garamond"/>
          <w:b/>
          <w:bCs/>
          <w:color w:val="7B3F00"/>
          <w:sz w:val="28"/>
          <w:szCs w:val="28"/>
        </w:rPr>
        <w:t xml:space="preserve">2.1  Database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Table</w:t>
            </w:r>
          </w:p>
        </w:tc>
        <w:tc>
          <w:tcPr>
            <w:tcW w:type="dxa" w:w="240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Rows</w:t>
            </w:r>
          </w:p>
        </w:tc>
        <w:tc>
          <w:tcPr>
            <w:tcW w:type="dxa" w:w="476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customers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50,000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customer_id, age, gender, loyalty_member, join_date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products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200</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product_id, product_name, brand, category, cocoa_percent, weight_g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stores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100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store_id, store_name, city, country, store_type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calendar</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731</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date, year, month, day, week, day_of_week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bCs/>
                <w:color w:val="3E1C00"/>
                <w:sz w:val="20"/>
                <w:szCs w:val="20"/>
              </w:rPr>
              <w:t xml:space="preserve">sales (fact)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Transactional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order_id, customer_id, product_id, store_id, order_date, revenue, profit</w:t>
            </w:r>
          </w:p>
        </w:tc>
      </w:tr>
    </w:tbl>
    <w:p>
      <w:pPr>
        <w:spacing w:before="100" w:after="80"/>
      </w:pPr>
    </w:p>
    <w:p>
      <w:pPr>
        <w:pStyle w:val="Heading2"/>
        <w:spacing w:before="240" w:after="100"/>
      </w:pPr>
      <w:r>
        <w:rPr>
          <w:rFonts w:ascii="Garamond" w:cs="Garamond" w:eastAsia="Garamond" w:hAnsi="Garamond"/>
          <w:b/>
          <w:bCs/>
          <w:color w:val="7B3F00"/>
          <w:sz w:val="28"/>
          <w:szCs w:val="28"/>
        </w:rPr>
        <w:t xml:space="preserve">2.2  ETL Pipeline</w:t>
      </w:r>
    </w:p>
    <w:p>
      <w:pPr>
        <w:spacing w:before="80" w:after="80"/>
        <w:jc w:val="left"/>
      </w:pPr>
      <w:r>
        <w:rPr>
          <w:rFonts w:ascii="Garamond" w:cs="Garamond" w:eastAsia="Garamond" w:hAnsi="Garamond"/>
          <w:b w:val="false"/>
          <w:bCs w:val="false"/>
          <w:color w:val="1A1A1A"/>
          <w:sz w:val="21"/>
          <w:szCs w:val="21"/>
        </w:rPr>
        <w:t xml:space="preserve">The ETL process is implemented in Python (Data_insart.py) using pandas and SQLAlchemy against a MySQL 8.x instance. CSV source files are ingested, column names are normalised (spaces replaced with underscores), and data is written transactionally in 1,000-row chunks using the multi-row INSERT method for performance. The replace strategy ensures idempotent reloads during development.</w:t>
      </w:r>
    </w:p>
    <w:p>
      <w:pPr>
        <w:spacing w:before="40" w:after="40"/>
      </w:pPr>
    </w:p>
    <w:p>
      <w:pPr>
        <w:pStyle w:val="Heading2"/>
        <w:spacing w:before="240" w:after="100"/>
      </w:pPr>
      <w:r>
        <w:rPr>
          <w:rFonts w:ascii="Garamond" w:cs="Garamond" w:eastAsia="Garamond" w:hAnsi="Garamond"/>
          <w:b/>
          <w:bCs/>
          <w:color w:val="7B3F00"/>
          <w:sz w:val="28"/>
          <w:szCs w:val="28"/>
        </w:rPr>
        <w:t xml:space="preserve">2.3  Analytical Tools</w:t>
      </w:r>
    </w:p>
    <w:p>
      <w:pPr>
        <w:pStyle w:val="ListParagraph"/>
        <w:numPr>
          <w:ilvl w:val="0"/>
          <w:numId w:val="2"/>
        </w:numPr>
        <w:spacing w:before="60" w:after="60"/>
      </w:pPr>
      <w:r>
        <w:rPr>
          <w:rFonts w:ascii="Garamond" w:cs="Garamond" w:eastAsia="Garamond" w:hAnsi="Garamond"/>
          <w:color w:val="1A1A1A"/>
          <w:sz w:val="21"/>
          <w:szCs w:val="21"/>
        </w:rPr>
        <w:t xml:space="preserve">Python 3.x — pandas, NumPy, Matplotlib, Seaborn for EDA and visualisation</w:t>
      </w:r>
    </w:p>
    <w:p>
      <w:pPr>
        <w:pStyle w:val="ListParagraph"/>
        <w:numPr>
          <w:ilvl w:val="0"/>
          <w:numId w:val="2"/>
        </w:numPr>
        <w:spacing w:before="60" w:after="60"/>
      </w:pPr>
      <w:r>
        <w:rPr>
          <w:rFonts w:ascii="Garamond" w:cs="Garamond" w:eastAsia="Garamond" w:hAnsi="Garamond"/>
          <w:color w:val="1A1A1A"/>
          <w:sz w:val="21"/>
          <w:szCs w:val="21"/>
        </w:rPr>
        <w:t xml:space="preserve">MySQL 8.x — relational storage with window functions and CTEs for advanced analytics</w:t>
      </w:r>
    </w:p>
    <w:p>
      <w:pPr>
        <w:pStyle w:val="ListParagraph"/>
        <w:numPr>
          <w:ilvl w:val="0"/>
          <w:numId w:val="2"/>
        </w:numPr>
        <w:spacing w:before="60" w:after="60"/>
      </w:pPr>
      <w:r>
        <w:rPr>
          <w:rFonts w:ascii="Garamond" w:cs="Garamond" w:eastAsia="Garamond" w:hAnsi="Garamond"/>
          <w:color w:val="1A1A1A"/>
          <w:sz w:val="21"/>
          <w:szCs w:val="21"/>
        </w:rPr>
        <w:t xml:space="preserve">Power BI Desktop — interactive dashboard layer (Data_set_14.pbix)</w:t>
      </w:r>
    </w:p>
    <w:p>
      <w:pPr>
        <w:pStyle w:val="ListParagraph"/>
        <w:numPr>
          <w:ilvl w:val="0"/>
          <w:numId w:val="2"/>
        </w:numPr>
        <w:spacing w:before="60" w:after="60"/>
      </w:pPr>
      <w:r>
        <w:rPr>
          <w:rFonts w:ascii="Garamond" w:cs="Garamond" w:eastAsia="Garamond" w:hAnsi="Garamond"/>
          <w:color w:val="1A1A1A"/>
          <w:sz w:val="21"/>
          <w:szCs w:val="21"/>
        </w:rPr>
        <w:t xml:space="preserve">SQL — five targeted business queries addressing revenue, seasonality, performance, channel mix, and AOV</w:t>
      </w:r>
    </w:p>
    <w:p>
      <w:pPr>
        <w:spacing w:before="80" w:after="40"/>
      </w:pPr>
    </w:p>
    <w:p>
      <w:pPr>
        <w:pStyle w:val="Heading1"/>
        <w:pBdr>
          <w:bottom w:val="single" w:color="C68642" w:sz="6" w:space="4"/>
        </w:pBdr>
        <w:spacing w:before="320" w:after="140"/>
      </w:pPr>
      <w:r>
        <w:rPr>
          <w:rFonts w:ascii="Garamond" w:cs="Garamond" w:eastAsia="Garamond" w:hAnsi="Garamond"/>
          <w:b/>
          <w:bCs/>
          <w:color w:val="3E1C00"/>
          <w:sz w:val="36"/>
          <w:szCs w:val="36"/>
        </w:rPr>
        <w:t xml:space="preserve">3. Customer Analysis</w:t>
      </w:r>
    </w:p>
    <w:p>
      <w:pPr>
        <w:pStyle w:val="Heading2"/>
        <w:spacing w:before="240" w:after="100"/>
      </w:pPr>
      <w:r>
        <w:rPr>
          <w:rFonts w:ascii="Garamond" w:cs="Garamond" w:eastAsia="Garamond" w:hAnsi="Garamond"/>
          <w:b/>
          <w:bCs/>
          <w:color w:val="7B3F00"/>
          <w:sz w:val="28"/>
          <w:szCs w:val="28"/>
        </w:rPr>
        <w:t xml:space="preserve">3.1  Demographic Profile</w:t>
      </w:r>
    </w:p>
    <w:p>
      <w:pPr>
        <w:spacing w:before="80" w:after="80"/>
        <w:jc w:val="left"/>
      </w:pPr>
      <w:r>
        <w:rPr>
          <w:rFonts w:ascii="Garamond" w:cs="Garamond" w:eastAsia="Garamond" w:hAnsi="Garamond"/>
          <w:b w:val="false"/>
          <w:bCs w:val="false"/>
          <w:color w:val="1A1A1A"/>
          <w:sz w:val="21"/>
          <w:szCs w:val="21"/>
        </w:rPr>
        <w:t xml:space="preserve">The customer base comprises 50,000 individuals spanning ages 18–70, with a mean age of 44 years and a median of 44, indicating a symmetric, middle-aged core demographic. The distribution is broad (standard deviation ≈ 15.3 years), encompassing both younger impulse buyers (18–30) and older connoisseurs (57–70).</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Total Customers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50,000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Male Customers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25,242  (50.5%)</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Mean Age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44.0 years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Female Customers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24,758  (49.5%)</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Age Range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18 – 70 years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Loyalty Members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25,104  (50.2%)</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Median Age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44 years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Non-Members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24,896  (49.8%)</w:t>
            </w:r>
          </w:p>
        </w:tc>
      </w:tr>
    </w:tbl>
    <w:p>
      <w:pPr>
        <w:spacing w:before="100" w:after="80"/>
      </w:pPr>
    </w:p>
    <w:p>
      <w:pPr>
        <w:pStyle w:val="Heading2"/>
        <w:spacing w:before="240" w:after="100"/>
      </w:pPr>
      <w:r>
        <w:rPr>
          <w:rFonts w:ascii="Garamond" w:cs="Garamond" w:eastAsia="Garamond" w:hAnsi="Garamond"/>
          <w:b/>
          <w:bCs/>
          <w:color w:val="7B3F00"/>
          <w:sz w:val="28"/>
          <w:szCs w:val="28"/>
        </w:rPr>
        <w:t xml:space="preserve">3.2  Loyalty Programme</w:t>
      </w:r>
    </w:p>
    <w:p>
      <w:pPr>
        <w:spacing w:before="80" w:after="80"/>
        <w:jc w:val="left"/>
      </w:pPr>
      <w:r>
        <w:rPr>
          <w:rFonts w:ascii="Garamond" w:cs="Garamond" w:eastAsia="Garamond" w:hAnsi="Garamond"/>
          <w:b w:val="false"/>
          <w:bCs w:val="false"/>
          <w:color w:val="1A1A1A"/>
          <w:sz w:val="21"/>
          <w:szCs w:val="21"/>
        </w:rPr>
        <w:t xml:space="preserve">With a 50.2% membership rate, the loyalty programme demonstrates exceptional penetration — more than half of the customer base is enrolled. This near-perfect split between members and non-members creates an ideal A/B testing environment for programme effectiveness studies. Key strategic opportunity: converting the 24,896 non-members, many of whom may already purchase regularly, could significantly increase average order value and repeat purchase frequency.</w:t>
      </w:r>
    </w:p>
    <w:p>
      <w:pPr>
        <w:spacing w:before="60" w:after="80"/>
      </w:pPr>
    </w:p>
    <w:p>
      <w:pPr>
        <w:pStyle w:val="Heading2"/>
        <w:spacing w:before="240" w:after="100"/>
      </w:pPr>
      <w:r>
        <w:rPr>
          <w:rFonts w:ascii="Garamond" w:cs="Garamond" w:eastAsia="Garamond" w:hAnsi="Garamond"/>
          <w:b/>
          <w:bCs/>
          <w:color w:val="7B3F00"/>
          <w:sz w:val="28"/>
          <w:szCs w:val="28"/>
        </w:rPr>
        <w:t xml:space="preserve">3.3  SQL Insight — Average Order Value Per Customer</w:t>
      </w:r>
    </w:p>
    <w:p>
      <w:pPr>
        <w:spacing w:before="80" w:after="80"/>
        <w:jc w:val="left"/>
      </w:pPr>
      <w:r>
        <w:rPr>
          <w:rFonts w:ascii="Garamond" w:cs="Garamond" w:eastAsia="Garamond" w:hAnsi="Garamond"/>
          <w:b w:val="false"/>
          <w:bCs w:val="false"/>
          <w:color w:val="1A1A1A"/>
          <w:sz w:val="21"/>
          <w:szCs w:val="21"/>
        </w:rPr>
        <w:t xml:space="preserve">The average order value (AOV) query joins sales and customers, groups by customer and year, and tracks per-customer revenue evolution. Year-on-year AOV trends reveal whether customers are upgrading to premium products or consolidating purchases — critical inputs for personalised marketing and upselling campaigns.</w:t>
      </w:r>
    </w:p>
    <w:p>
      <w:pPr>
        <w:spacing w:before="80" w:after="40"/>
      </w:pPr>
    </w:p>
    <w:p>
      <w:pPr>
        <w:pStyle w:val="Heading1"/>
        <w:pBdr>
          <w:bottom w:val="single" w:color="C68642" w:sz="6" w:space="4"/>
        </w:pBdr>
        <w:spacing w:before="320" w:after="140"/>
      </w:pPr>
      <w:r>
        <w:rPr>
          <w:rFonts w:ascii="Garamond" w:cs="Garamond" w:eastAsia="Garamond" w:hAnsi="Garamond"/>
          <w:b/>
          <w:bCs/>
          <w:color w:val="3E1C00"/>
          <w:sz w:val="36"/>
          <w:szCs w:val="36"/>
        </w:rPr>
        <w:t xml:space="preserve">4. Product Portfolio Analysis</w:t>
      </w:r>
    </w:p>
    <w:p>
      <w:pPr>
        <w:pStyle w:val="Heading2"/>
        <w:spacing w:before="240" w:after="100"/>
      </w:pPr>
      <w:r>
        <w:rPr>
          <w:rFonts w:ascii="Garamond" w:cs="Garamond" w:eastAsia="Garamond" w:hAnsi="Garamond"/>
          <w:b/>
          <w:bCs/>
          <w:color w:val="7B3F00"/>
          <w:sz w:val="28"/>
          <w:szCs w:val="28"/>
        </w:rPr>
        <w:t xml:space="preserve">4.1  Category &amp; Brand Structure</w:t>
      </w:r>
    </w:p>
    <w:p>
      <w:pPr>
        <w:spacing w:before="80" w:after="80"/>
        <w:jc w:val="left"/>
      </w:pPr>
      <w:r>
        <w:rPr>
          <w:rFonts w:ascii="Garamond" w:cs="Garamond" w:eastAsia="Garamond" w:hAnsi="Garamond"/>
          <w:b w:val="false"/>
          <w:bCs w:val="false"/>
          <w:color w:val="1A1A1A"/>
          <w:sz w:val="21"/>
          <w:szCs w:val="21"/>
        </w:rPr>
        <w:t xml:space="preserve">The 200-product portfolio spans five distinct chocolate categories and six premium international brands. Diversification across categories — from mass-market Milk and White variants to artisan Truffle, Dark, and Praline lines — enables Chocolate Sales Co. to serve both everyday consumption and gifting/occasion-based demand.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Product Categories</w:t>
            </w:r>
          </w:p>
        </w:tc>
        <w:tc>
          <w:tcPr>
            <w:tcW w:type="dxa" w:w="468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Premium Brands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pPr>
              <w:pStyle w:val="ListParagraph"/>
              <w:numPr>
                <w:ilvl w:val="0"/>
                <w:numId w:val="2"/>
              </w:numPr>
              <w:spacing w:before="40" w:after="40"/>
            </w:pPr>
            <w:r>
              <w:rPr>
                <w:rFonts w:ascii="Garamond" w:cs="Garamond" w:eastAsia="Garamond" w:hAnsi="Garamond"/>
                <w:sz w:val="21"/>
                <w:szCs w:val="21"/>
              </w:rPr>
              <w:t xml:space="preserve">Truffle  —  artisan, high-cocoa</w:t>
            </w:r>
          </w:p>
          <w:p>
            <w:pPr>
              <w:pStyle w:val="ListParagraph"/>
              <w:numPr>
                <w:ilvl w:val="0"/>
                <w:numId w:val="2"/>
              </w:numPr>
              <w:spacing w:before="40" w:after="40"/>
            </w:pPr>
            <w:r>
              <w:rPr>
                <w:rFonts w:ascii="Garamond" w:cs="Garamond" w:eastAsia="Garamond" w:hAnsi="Garamond"/>
                <w:sz w:val="21"/>
                <w:szCs w:val="21"/>
              </w:rPr>
              <w:t xml:space="preserve">Praline  —  nut &amp; cream-filled</w:t>
            </w:r>
          </w:p>
          <w:p>
            <w:pPr>
              <w:pStyle w:val="ListParagraph"/>
              <w:numPr>
                <w:ilvl w:val="0"/>
                <w:numId w:val="2"/>
              </w:numPr>
              <w:spacing w:before="40" w:after="40"/>
            </w:pPr>
            <w:r>
              <w:rPr>
                <w:rFonts w:ascii="Garamond" w:cs="Garamond" w:eastAsia="Garamond" w:hAnsi="Garamond"/>
                <w:sz w:val="21"/>
                <w:szCs w:val="21"/>
              </w:rPr>
              <w:t xml:space="preserve">Dark  —  50–90% cocoa</w:t>
            </w:r>
          </w:p>
          <w:p>
            <w:pPr>
              <w:pStyle w:val="ListParagraph"/>
              <w:numPr>
                <w:ilvl w:val="0"/>
                <w:numId w:val="2"/>
              </w:numPr>
              <w:spacing w:before="40" w:after="40"/>
            </w:pPr>
            <w:r>
              <w:rPr>
                <w:rFonts w:ascii="Garamond" w:cs="Garamond" w:eastAsia="Garamond" w:hAnsi="Garamond"/>
                <w:sz w:val="21"/>
                <w:szCs w:val="21"/>
              </w:rPr>
              <w:t xml:space="preserve">Milk  —  everyday, popular</w:t>
            </w:r>
          </w:p>
          <w:p>
            <w:pPr>
              <w:pStyle w:val="ListParagraph"/>
              <w:numPr>
                <w:ilvl w:val="0"/>
                <w:numId w:val="2"/>
              </w:numPr>
              <w:spacing w:before="40" w:after="40"/>
            </w:pPr>
            <w:r>
              <w:rPr>
                <w:rFonts w:ascii="Garamond" w:cs="Garamond" w:eastAsia="Garamond" w:hAnsi="Garamond"/>
                <w:sz w:val="21"/>
                <w:szCs w:val="21"/>
              </w:rPr>
              <w:t xml:space="preserve">White  —  cocoa butter base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pPr>
              <w:pStyle w:val="ListParagraph"/>
              <w:numPr>
                <w:ilvl w:val="0"/>
                <w:numId w:val="2"/>
              </w:numPr>
              <w:spacing w:before="40" w:after="40"/>
            </w:pPr>
            <w:r>
              <w:rPr>
                <w:rFonts w:ascii="Garamond" w:cs="Garamond" w:eastAsia="Garamond" w:hAnsi="Garamond"/>
                <w:sz w:val="21"/>
                <w:szCs w:val="21"/>
              </w:rPr>
              <w:t xml:space="preserve">Mars  —  global mass-market leader</w:t>
            </w:r>
          </w:p>
          <w:p>
            <w:pPr>
              <w:pStyle w:val="ListParagraph"/>
              <w:numPr>
                <w:ilvl w:val="0"/>
                <w:numId w:val="2"/>
              </w:numPr>
              <w:spacing w:before="40" w:after="40"/>
            </w:pPr>
            <w:r>
              <w:rPr>
                <w:rFonts w:ascii="Garamond" w:cs="Garamond" w:eastAsia="Garamond" w:hAnsi="Garamond"/>
                <w:sz w:val="21"/>
                <w:szCs w:val="21"/>
              </w:rPr>
              <w:t xml:space="preserve">Cadbury  —  heritage British brand</w:t>
            </w:r>
          </w:p>
          <w:p>
            <w:pPr>
              <w:pStyle w:val="ListParagraph"/>
              <w:numPr>
                <w:ilvl w:val="0"/>
                <w:numId w:val="2"/>
              </w:numPr>
              <w:spacing w:before="40" w:after="40"/>
            </w:pPr>
            <w:r>
              <w:rPr>
                <w:rFonts w:ascii="Garamond" w:cs="Garamond" w:eastAsia="Garamond" w:hAnsi="Garamond"/>
                <w:sz w:val="21"/>
                <w:szCs w:val="21"/>
              </w:rPr>
              <w:t xml:space="preserve">Hershey  —  North American staple</w:t>
            </w:r>
          </w:p>
          <w:p>
            <w:pPr>
              <w:pStyle w:val="ListParagraph"/>
              <w:numPr>
                <w:ilvl w:val="0"/>
                <w:numId w:val="2"/>
              </w:numPr>
              <w:spacing w:before="40" w:after="40"/>
            </w:pPr>
            <w:r>
              <w:rPr>
                <w:rFonts w:ascii="Garamond" w:cs="Garamond" w:eastAsia="Garamond" w:hAnsi="Garamond"/>
                <w:sz w:val="21"/>
                <w:szCs w:val="21"/>
              </w:rPr>
              <w:t xml:space="preserve">Ferrero  —  premium gifting</w:t>
            </w:r>
          </w:p>
          <w:p>
            <w:pPr>
              <w:pStyle w:val="ListParagraph"/>
              <w:numPr>
                <w:ilvl w:val="0"/>
                <w:numId w:val="2"/>
              </w:numPr>
              <w:spacing w:before="40" w:after="40"/>
            </w:pPr>
            <w:r>
              <w:rPr>
                <w:rFonts w:ascii="Garamond" w:cs="Garamond" w:eastAsia="Garamond" w:hAnsi="Garamond"/>
                <w:sz w:val="21"/>
                <w:szCs w:val="21"/>
              </w:rPr>
              <w:t xml:space="preserve">Godiva  —  luxury positioning</w:t>
            </w:r>
          </w:p>
          <w:p>
            <w:pPr>
              <w:pStyle w:val="ListParagraph"/>
              <w:numPr>
                <w:ilvl w:val="0"/>
                <w:numId w:val="2"/>
              </w:numPr>
              <w:spacing w:before="40" w:after="40"/>
            </w:pPr>
            <w:r>
              <w:rPr>
                <w:rFonts w:ascii="Garamond" w:cs="Garamond" w:eastAsia="Garamond" w:hAnsi="Garamond"/>
                <w:sz w:val="21"/>
                <w:szCs w:val="21"/>
              </w:rPr>
              <w:t xml:space="preserve">Lindt  —  Swiss master chocolatier</w:t>
            </w:r>
          </w:p>
        </w:tc>
      </w:tr>
    </w:tbl>
    <w:p>
      <w:pPr>
        <w:spacing w:before="100" w:after="80"/>
      </w:pPr>
    </w:p>
    <w:p>
      <w:pPr>
        <w:pStyle w:val="Heading2"/>
        <w:spacing w:before="240" w:after="100"/>
      </w:pPr>
      <w:r>
        <w:rPr>
          <w:rFonts w:ascii="Garamond" w:cs="Garamond" w:eastAsia="Garamond" w:hAnsi="Garamond"/>
          <w:b/>
          <w:bCs/>
          <w:color w:val="7B3F00"/>
          <w:sz w:val="28"/>
          <w:szCs w:val="28"/>
        </w:rPr>
        <w:t xml:space="preserve">4.2  SQL Insight — Revenue &amp; Profit Margin by Product</w:t>
      </w:r>
    </w:p>
    <w:p>
      <w:pPr>
        <w:spacing w:before="80" w:after="80"/>
        <w:jc w:val="left"/>
      </w:pPr>
      <w:r>
        <w:rPr>
          <w:rFonts w:ascii="Garamond" w:cs="Garamond" w:eastAsia="Garamond" w:hAnsi="Garamond"/>
          <w:b w:val="false"/>
          <w:bCs w:val="false"/>
          <w:color w:val="1A1A1A"/>
          <w:sz w:val="21"/>
          <w:szCs w:val="21"/>
        </w:rPr>
        <w:t xml:space="preserve">The product profitability query ranks all products by total revenue and computes aggregate profit margins. This enables portfolio prioritisation: high-revenue/high-margin products are the core to defend; high-revenue/low-margin products require cost or pricing intervention; low-revenue/high-margin products represent upselling targets.</w:t>
      </w:r>
    </w:p>
    <w:p>
      <w:pPr>
        <w:spacing w:before="60" w:after="60"/>
      </w:pPr>
    </w:p>
    <w:p>
      <w:pPr>
        <w:pStyle w:val="Heading2"/>
        <w:spacing w:before="240" w:after="100"/>
      </w:pPr>
      <w:r>
        <w:rPr>
          <w:rFonts w:ascii="Garamond" w:cs="Garamond" w:eastAsia="Garamond" w:hAnsi="Garamond"/>
          <w:b/>
          <w:bCs/>
          <w:color w:val="7B3F00"/>
          <w:sz w:val="28"/>
          <w:szCs w:val="28"/>
        </w:rPr>
        <w:t xml:space="preserve">4.3  SQL Insight — Over/Underperforming Categories</w:t>
      </w:r>
    </w:p>
    <w:p>
      <w:pPr>
        <w:spacing w:before="80" w:after="80"/>
        <w:jc w:val="left"/>
      </w:pPr>
      <w:r>
        <w:rPr>
          <w:rFonts w:ascii="Garamond" w:cs="Garamond" w:eastAsia="Garamond" w:hAnsi="Garamond"/>
          <w:b w:val="false"/>
          <w:bCs w:val="false"/>
          <w:color w:val="1A1A1A"/>
          <w:sz w:val="21"/>
          <w:szCs w:val="21"/>
        </w:rPr>
        <w:t xml:space="preserve">Using a two-step CTE approach, each product is benchmarked against its category average revenue. Products exceeding category mean are flagged as over-performing; those below are under-performing. This technique surfaces category-level consistency issues and identifies specific SKUs pulling down otherwise strong categories — ideal for range rationalisation decisions.</w:t>
      </w:r>
    </w:p>
    <w:p>
      <w:pPr>
        <w:spacing w:before="80" w:after="40"/>
      </w:pPr>
    </w:p>
    <w:p>
      <w:pPr>
        <w:pStyle w:val="Heading1"/>
        <w:pBdr>
          <w:bottom w:val="single" w:color="C68642" w:sz="6" w:space="4"/>
        </w:pBdr>
        <w:spacing w:before="320" w:after="140"/>
      </w:pPr>
      <w:r>
        <w:rPr>
          <w:rFonts w:ascii="Garamond" w:cs="Garamond" w:eastAsia="Garamond" w:hAnsi="Garamond"/>
          <w:b/>
          <w:bCs/>
          <w:color w:val="3E1C00"/>
          <w:sz w:val="36"/>
          <w:szCs w:val="36"/>
        </w:rPr>
        <w:t xml:space="preserve">5. Global Store Network</w:t>
      </w:r>
    </w:p>
    <w:p>
      <w:pPr>
        <w:pStyle w:val="Heading2"/>
        <w:spacing w:before="240" w:after="100"/>
      </w:pPr>
      <w:r>
        <w:rPr>
          <w:rFonts w:ascii="Garamond" w:cs="Garamond" w:eastAsia="Garamond" w:hAnsi="Garamond"/>
          <w:b/>
          <w:bCs/>
          <w:color w:val="7B3F00"/>
          <w:sz w:val="28"/>
          <w:szCs w:val="28"/>
        </w:rPr>
        <w:t xml:space="preserve">5.1  Store Channel Mix</w:t>
      </w:r>
    </w:p>
    <w:p>
      <w:pPr>
        <w:spacing w:before="80" w:after="80"/>
        <w:jc w:val="left"/>
      </w:pPr>
      <w:r>
        <w:rPr>
          <w:rFonts w:ascii="Garamond" w:cs="Garamond" w:eastAsia="Garamond" w:hAnsi="Garamond"/>
          <w:b w:val="false"/>
          <w:bCs w:val="false"/>
          <w:color w:val="1A1A1A"/>
          <w:sz w:val="21"/>
          <w:szCs w:val="21"/>
        </w:rPr>
        <w:t xml:space="preserve">The 100-store network spans four channel types across six countries, reflecting a modern omnichannel retail strategy. Each channel type carries distinct economics: Retail stores drive relationship-based sales and loyalty engagement; Mall stores capture high-footfall impulse purchasing; Airport stores serve premium, occasion-driven travellers; Online stores unlock 24/7 global reach with lower fixed costs.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Channel</w:t>
            </w:r>
          </w:p>
        </w:tc>
        <w:tc>
          <w:tcPr>
            <w:tcW w:type="dxa" w:w="468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Strategic Role</w:t>
            </w:r>
          </w:p>
        </w:tc>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Countries Active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Retail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Flagship experience, loyalty engagement, brand building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All 6</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Mall</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High footfall, impulse &amp; seasonal purchases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All 6</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Airport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Premium gifting, travel retail, high-spend travellers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Selected</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Online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24/7 global access, subscription &amp; bulk orders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Global</w:t>
            </w:r>
          </w:p>
        </w:tc>
      </w:tr>
    </w:tbl>
    <w:p>
      <w:pPr>
        <w:spacing w:before="100" w:after="80"/>
      </w:pPr>
    </w:p>
    <w:p>
      <w:pPr>
        <w:pStyle w:val="Heading2"/>
        <w:spacing w:before="240" w:after="100"/>
      </w:pPr>
      <w:r>
        <w:rPr>
          <w:rFonts w:ascii="Garamond" w:cs="Garamond" w:eastAsia="Garamond" w:hAnsi="Garamond"/>
          <w:b/>
          <w:bCs/>
          <w:color w:val="7B3F00"/>
          <w:sz w:val="28"/>
          <w:szCs w:val="28"/>
        </w:rPr>
        <w:t xml:space="preserve">5.2  Geographic Footprint</w:t>
      </w:r>
    </w:p>
    <w:p>
      <w:pPr>
        <w:spacing w:before="80" w:after="80"/>
        <w:jc w:val="left"/>
      </w:pPr>
      <w:r>
        <w:rPr>
          <w:rFonts w:ascii="Garamond" w:cs="Garamond" w:eastAsia="Garamond" w:hAnsi="Garamond"/>
          <w:b w:val="false"/>
          <w:bCs w:val="false"/>
          <w:color w:val="1A1A1A"/>
          <w:sz w:val="21"/>
          <w:szCs w:val="21"/>
        </w:rPr>
        <w:t xml:space="preserve">Operations span Canada, France, the United Kingdom, the USA, Australia, and Germany — providing broad coverage across North America, Europe, and the Asia-Pacific region. This geographic diversification reduces single-market risk and enables regional performance benchmarking. City-level store placement data supports micro-market analysis for expansion or consolidation decisions.</w:t>
      </w:r>
    </w:p>
    <w:p>
      <w:pPr>
        <w:spacing w:before="60" w:after="80"/>
      </w:pPr>
    </w:p>
    <w:p>
      <w:pPr>
        <w:pStyle w:val="Heading2"/>
        <w:spacing w:before="240" w:after="100"/>
      </w:pPr>
      <w:r>
        <w:rPr>
          <w:rFonts w:ascii="Garamond" w:cs="Garamond" w:eastAsia="Garamond" w:hAnsi="Garamond"/>
          <w:b/>
          <w:bCs/>
          <w:color w:val="7B3F00"/>
          <w:sz w:val="28"/>
          <w:szCs w:val="28"/>
        </w:rPr>
        <w:t xml:space="preserve">5.3  SQL Insight — Channel Revenue Contribution</w:t>
      </w:r>
    </w:p>
    <w:p>
      <w:pPr>
        <w:spacing w:before="80" w:after="80"/>
        <w:jc w:val="left"/>
      </w:pPr>
      <w:r>
        <w:rPr>
          <w:rFonts w:ascii="Garamond" w:cs="Garamond" w:eastAsia="Garamond" w:hAnsi="Garamond"/>
          <w:b w:val="false"/>
          <w:bCs w:val="false"/>
          <w:color w:val="1A1A1A"/>
          <w:sz w:val="21"/>
          <w:szCs w:val="21"/>
        </w:rPr>
        <w:t xml:space="preserve">The channel contribution SQL query uses a window function to compute each store type's percentage share of total revenue in a single pass, avoiding correlated subqueries. This view immediately highlights which channels over- or under-index relative to their store count — revealing whether Online generates disproportionate revenue or whether Airport stores justify their premium real-estate costs.</w:t>
      </w:r>
    </w:p>
    <w:p>
      <w:pPr>
        <w:spacing w:before="80" w:after="40"/>
      </w:pPr>
    </w:p>
    <w:p>
      <w:pPr>
        <w:pStyle w:val="Heading1"/>
        <w:pBdr>
          <w:bottom w:val="single" w:color="C68642" w:sz="6" w:space="4"/>
        </w:pBdr>
        <w:spacing w:before="320" w:after="140"/>
      </w:pPr>
      <w:r>
        <w:rPr>
          <w:rFonts w:ascii="Garamond" w:cs="Garamond" w:eastAsia="Garamond" w:hAnsi="Garamond"/>
          <w:b/>
          <w:bCs/>
          <w:color w:val="3E1C00"/>
          <w:sz w:val="36"/>
          <w:szCs w:val="36"/>
        </w:rPr>
        <w:t xml:space="preserve">6. Seasonal &amp; Temporal Analysis</w:t>
      </w:r>
    </w:p>
    <w:p>
      <w:pPr>
        <w:pStyle w:val="Heading2"/>
        <w:spacing w:before="240" w:after="100"/>
      </w:pPr>
      <w:r>
        <w:rPr>
          <w:rFonts w:ascii="Garamond" w:cs="Garamond" w:eastAsia="Garamond" w:hAnsi="Garamond"/>
          <w:b/>
          <w:bCs/>
          <w:color w:val="7B3F00"/>
          <w:sz w:val="28"/>
          <w:szCs w:val="28"/>
        </w:rPr>
        <w:t xml:space="preserve">6.1  Calendar Dimension</w:t>
      </w:r>
    </w:p>
    <w:p>
      <w:pPr>
        <w:spacing w:before="80" w:after="80"/>
        <w:jc w:val="left"/>
      </w:pPr>
      <w:r>
        <w:rPr>
          <w:rFonts w:ascii="Garamond" w:cs="Garamond" w:eastAsia="Garamond" w:hAnsi="Garamond"/>
          <w:b w:val="false"/>
          <w:bCs w:val="false"/>
          <w:color w:val="1A1A1A"/>
          <w:sz w:val="21"/>
          <w:szCs w:val="21"/>
        </w:rPr>
        <w:t xml:space="preserve">The calendar dimension spans January 2023 to December 2024, with each date enriched by year, month, day-of-month, ISO week number, and day-of-week. This granularity supports analyses ranging from annual trend lines to day-of-week demand heatmaps, enabling both strategic and operational planning.</w:t>
      </w:r>
    </w:p>
    <w:p>
      <w:pPr>
        <w:spacing w:before="60" w:after="80"/>
      </w:pPr>
    </w:p>
    <w:p>
      <w:pPr>
        <w:pStyle w:val="Heading2"/>
        <w:spacing w:before="240" w:after="100"/>
      </w:pPr>
      <w:r>
        <w:rPr>
          <w:rFonts w:ascii="Garamond" w:cs="Garamond" w:eastAsia="Garamond" w:hAnsi="Garamond"/>
          <w:b/>
          <w:bCs/>
          <w:color w:val="7B3F00"/>
          <w:sz w:val="28"/>
          <w:szCs w:val="28"/>
        </w:rPr>
        <w:t xml:space="preserve">6.2  SQL Insight — Seasonal Demand Spikes</w:t>
      </w:r>
    </w:p>
    <w:p>
      <w:pPr>
        <w:spacing w:before="80" w:after="80"/>
        <w:jc w:val="left"/>
      </w:pPr>
      <w:r>
        <w:rPr>
          <w:rFonts w:ascii="Garamond" w:cs="Garamond" w:eastAsia="Garamond" w:hAnsi="Garamond"/>
          <w:b w:val="false"/>
          <w:bCs w:val="false"/>
          <w:color w:val="1A1A1A"/>
          <w:sz w:val="21"/>
          <w:szCs w:val="21"/>
        </w:rPr>
        <w:t xml:space="preserve">The seasonal query uses a CASE expression to tag transactional records against two critical gifting dates — Valentine's Day (14 February) and Christmas (25 December). Revenue and profit are aggregated for each flagged event against baseline 'normal day' performance, directly quantifying the commercial value of seasonal peaks.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Seasonal Event</w:t>
            </w:r>
          </w:p>
        </w:tc>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Revenue Driver</w:t>
            </w:r>
          </w:p>
        </w:tc>
        <w:tc>
          <w:tcPr>
            <w:tcW w:type="dxa" w:w="234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Product Focus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Valentine's Day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14 February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Gifting &amp; premium SKUs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Truffle, Praline, Godiva</w:t>
            </w:r>
          </w:p>
        </w:tc>
      </w:tr>
      <w:tr>
        <w:tc>
          <w:tcPr>
            <w:tcW w:type="dxa" w:w="2340"/>
            <w:tcBorders>
              <w:top w:val="single" w:color="CCCCCC" w:sz="1"/>
              <w:left w:val="single" w:color="CCCCCC" w:sz="1"/>
              <w:bottom w:val="single" w:color="CCCCCC" w:sz="1"/>
              <w:right w:val="single" w:color="CCCCCC" w:sz="1"/>
            </w:tcBorders>
            <w:shd w:fill="F5E6C8"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Christmas</w:t>
            </w:r>
          </w:p>
        </w:tc>
        <w:tc>
          <w:tcPr>
            <w:tcW w:type="dxa" w:w="2340"/>
            <w:tcBorders>
              <w:top w:val="single" w:color="CCCCCC" w:sz="1"/>
              <w:left w:val="single" w:color="CCCCCC" w:sz="1"/>
              <w:bottom w:val="single" w:color="CCCCCC" w:sz="1"/>
              <w:right w:val="single" w:color="CCCCCC" w:sz="1"/>
            </w:tcBorders>
            <w:shd w:fill="F5E6C8"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25 December</w:t>
            </w:r>
          </w:p>
        </w:tc>
        <w:tc>
          <w:tcPr>
            <w:tcW w:type="dxa" w:w="2340"/>
            <w:tcBorders>
              <w:top w:val="single" w:color="CCCCCC" w:sz="1"/>
              <w:left w:val="single" w:color="CCCCCC" w:sz="1"/>
              <w:bottom w:val="single" w:color="CCCCCC" w:sz="1"/>
              <w:right w:val="single" w:color="CCCCCC" w:sz="1"/>
            </w:tcBorders>
            <w:shd w:fill="F5E6C8"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Hampers &amp; bundles</w:t>
            </w:r>
          </w:p>
        </w:tc>
        <w:tc>
          <w:tcPr>
            <w:tcW w:type="dxa" w:w="2340"/>
            <w:tcBorders>
              <w:top w:val="single" w:color="CCCCCC" w:sz="1"/>
              <w:left w:val="single" w:color="CCCCCC" w:sz="1"/>
              <w:bottom w:val="single" w:color="CCCCCC" w:sz="1"/>
              <w:right w:val="single" w:color="CCCCCC" w:sz="1"/>
            </w:tcBorders>
            <w:shd w:fill="F5E6C8"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Ferrero, Lindt, Dark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Baseline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All other dates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Regular replenishment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Milk, White, Mars</w:t>
            </w:r>
          </w:p>
        </w:tc>
      </w:tr>
    </w:tbl>
    <w:p>
      <w:pPr>
        <w:spacing w:before="80" w:after="60"/>
      </w:pPr>
    </w:p>
    <w:p>
      <w:pPr>
        <w:spacing w:before="80" w:after="80"/>
        <w:jc w:val="left"/>
      </w:pPr>
      <w:r>
        <w:rPr>
          <w:rFonts w:ascii="Garamond" w:cs="Garamond" w:eastAsia="Garamond" w:hAnsi="Garamond"/>
          <w:b w:val="false"/>
          <w:bCs w:val="false"/>
          <w:color w:val="1A1A1A"/>
          <w:sz w:val="21"/>
          <w:szCs w:val="21"/>
        </w:rPr>
        <w:t xml:space="preserve">Year-on-year trend analysis (EDA.py lineplot) provides a macro view of revenue trajectory, while the order-count timeseries reveals whether growth is driven by higher volumes or improved pricing. These two metrics together identify the health of the business: volume growth + stable AOV indicates market expansion, while stable volume + AOV growth signals successful premiumisation.</w:t>
      </w:r>
    </w:p>
    <w:p>
      <w:pPr>
        <w:spacing w:before="80" w:after="40"/>
      </w:pPr>
    </w:p>
    <w:p>
      <w:pPr>
        <w:pStyle w:val="Heading1"/>
        <w:pBdr>
          <w:bottom w:val="single" w:color="C68642" w:sz="6" w:space="4"/>
        </w:pBdr>
        <w:spacing w:before="320" w:after="140"/>
      </w:pPr>
      <w:r>
        <w:rPr>
          <w:rFonts w:ascii="Garamond" w:cs="Garamond" w:eastAsia="Garamond" w:hAnsi="Garamond"/>
          <w:b/>
          <w:bCs/>
          <w:color w:val="3E1C00"/>
          <w:sz w:val="36"/>
          <w:szCs w:val="36"/>
        </w:rPr>
        <w:t xml:space="preserve">7. Exploratory Data Analysis</w:t>
      </w:r>
    </w:p>
    <w:p>
      <w:pPr>
        <w:spacing w:before="80" w:after="80"/>
        <w:jc w:val="left"/>
      </w:pPr>
      <w:r>
        <w:rPr>
          <w:rFonts w:ascii="Garamond" w:cs="Garamond" w:eastAsia="Garamond" w:hAnsi="Garamond"/>
          <w:b w:val="false"/>
          <w:bCs w:val="false"/>
          <w:color w:val="1A1A1A"/>
          <w:sz w:val="21"/>
          <w:szCs w:val="21"/>
        </w:rPr>
        <w:t xml:space="preserve">The EDA module (EDA.py) merges all five dimension and fact tables into a unified flat file using left joins on their respective surrogate keys. This denormalised view simplifies visualisation without sacrificing referential integrity. Five core visual analyses are conducted: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6060"/>
      </w:tblGrid>
      <w:tr>
        <w:tc>
          <w:tcPr>
            <w:tcW w:type="dxa" w:w="30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Visualisation</w:t>
            </w:r>
          </w:p>
        </w:tc>
        <w:tc>
          <w:tcPr>
            <w:tcW w:type="dxa" w:w="606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Business Question Answered</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Revenue by Category × Country (bar)</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Which categories dominate in each market? Where should localised product mix investment go?</w:t>
            </w:r>
          </w:p>
        </w:tc>
      </w:tr>
      <w:tr>
        <w:tc>
          <w:tcPr>
            <w:tcW w:type="dxa" w:w="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Revenue by Country × Gender (bar)</w:t>
            </w:r>
          </w:p>
        </w:tc>
        <w:tc>
          <w:tcPr>
            <w:tcW w:type="dxa" w:w="6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Are purchasing patterns gender-differentiated by geography? What does this mean for targeted marketing?</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Total Revenue by Year (line)</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Is the business growing? What is the two-year CAGR? Are there inflection points?</w:t>
            </w:r>
          </w:p>
        </w:tc>
      </w:tr>
      <w:tr>
        <w:tc>
          <w:tcPr>
            <w:tcW w:type="dxa" w:w="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Order Count by Year (line)</w:t>
            </w:r>
          </w:p>
        </w:tc>
        <w:tc>
          <w:tcPr>
            <w:tcW w:type="dxa" w:w="6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Is transaction volume growing independently of revenue — or is revenue growth purely price-driven?</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Loyalty Members by Country (count)</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Where is the loyalty programme strongest? Which markets are under-penetrated and need activation investment?</w:t>
            </w:r>
          </w:p>
        </w:tc>
      </w:tr>
    </w:tbl>
    <w:p>
      <w:pPr>
        <w:spacing w:before="80" w:after="60"/>
      </w:pPr>
    </w:p>
    <w:p>
      <w:pPr>
        <w:spacing w:before="80" w:after="80"/>
        <w:jc w:val="left"/>
      </w:pPr>
      <w:r>
        <w:rPr>
          <w:rFonts w:ascii="Garamond" w:cs="Garamond" w:eastAsia="Garamond" w:hAnsi="Garamond"/>
          <w:b w:val="false"/>
          <w:bCs w:val="false"/>
          <w:color w:val="1A1A1A"/>
          <w:sz w:val="21"/>
          <w:szCs w:val="21"/>
        </w:rPr>
        <w:t xml:space="preserve">The merge sequence — sales → customers → calendar → products → stores — preserves all sales records (left joins) while enriching each transaction with full dimensional context. Any NULL values post-join would indicate orphaned records in dimension tables, surfaced by the isnull() diagnostics in the EDA script.</w:t>
      </w:r>
    </w:p>
    <w:p>
      <w:pPr>
        <w:spacing w:before="80" w:after="40"/>
      </w:pPr>
    </w:p>
    <w:p>
      <w:pPr>
        <w:pStyle w:val="Heading1"/>
        <w:pBdr>
          <w:bottom w:val="single" w:color="C68642" w:sz="6" w:space="4"/>
        </w:pBdr>
        <w:spacing w:before="320" w:after="140"/>
      </w:pPr>
      <w:r>
        <w:rPr>
          <w:rFonts w:ascii="Garamond" w:cs="Garamond" w:eastAsia="Garamond" w:hAnsi="Garamond"/>
          <w:b/>
          <w:bCs/>
          <w:color w:val="3E1C00"/>
          <w:sz w:val="36"/>
          <w:szCs w:val="36"/>
        </w:rPr>
        <w:t xml:space="preserve">8. Strategic Recommendations</w:t>
      </w:r>
    </w:p>
    <w:p>
      <w:pPr>
        <w:pStyle w:val="Heading2"/>
        <w:spacing w:before="240" w:after="100"/>
      </w:pPr>
      <w:r>
        <w:rPr>
          <w:rFonts w:ascii="Garamond" w:cs="Garamond" w:eastAsia="Garamond" w:hAnsi="Garamond"/>
          <w:b/>
          <w:bCs/>
          <w:color w:val="7B3F00"/>
          <w:sz w:val="28"/>
          <w:szCs w:val="28"/>
        </w:rPr>
        <w:t xml:space="preserve">8.1  Product &amp; Revenue</w:t>
      </w:r>
    </w:p>
    <w:p>
      <w:pPr>
        <w:pStyle w:val="ListParagraph"/>
        <w:numPr>
          <w:ilvl w:val="0"/>
          <w:numId w:val="2"/>
        </w:numPr>
        <w:spacing w:before="60" w:after="60"/>
      </w:pPr>
      <w:r>
        <w:rPr>
          <w:rFonts w:ascii="Garamond" w:cs="Garamond" w:eastAsia="Garamond" w:hAnsi="Garamond"/>
          <w:color w:val="1A1A1A"/>
          <w:sz w:val="21"/>
          <w:szCs w:val="21"/>
        </w:rPr>
        <w:t xml:space="preserve">Prioritise high-margin Truffle and Praline categories in marketing budgets, particularly for Ferrero and Godiva brand lines where premium pricing is best supported.</w:t>
      </w:r>
    </w:p>
    <w:p>
      <w:pPr>
        <w:pStyle w:val="ListParagraph"/>
        <w:numPr>
          <w:ilvl w:val="0"/>
          <w:numId w:val="2"/>
        </w:numPr>
        <w:spacing w:before="60" w:after="60"/>
      </w:pPr>
      <w:r>
        <w:rPr>
          <w:rFonts w:ascii="Garamond" w:cs="Garamond" w:eastAsia="Garamond" w:hAnsi="Garamond"/>
          <w:color w:val="1A1A1A"/>
          <w:sz w:val="21"/>
          <w:szCs w:val="21"/>
        </w:rPr>
        <w:t xml:space="preserve">Conduct quarterly portfolio rationalisation using the over/underperforming SQL query to retire consistently underperforming SKUs and reinvest shelf space.</w:t>
      </w:r>
    </w:p>
    <w:p>
      <w:pPr>
        <w:pStyle w:val="ListParagraph"/>
        <w:numPr>
          <w:ilvl w:val="0"/>
          <w:numId w:val="2"/>
        </w:numPr>
        <w:spacing w:before="60" w:after="60"/>
      </w:pPr>
      <w:r>
        <w:rPr>
          <w:rFonts w:ascii="Garamond" w:cs="Garamond" w:eastAsia="Garamond" w:hAnsi="Garamond"/>
          <w:color w:val="1A1A1A"/>
          <w:sz w:val="21"/>
          <w:szCs w:val="21"/>
        </w:rPr>
        <w:t xml:space="preserve">Develop cross-sell bundles (e.g., Truffle + Dark) for Christmas and Valentine's seasons to increase basket size on the two highest-revenue event days.</w:t>
      </w:r>
    </w:p>
    <w:p>
      <w:pPr>
        <w:spacing w:before="40" w:after="40"/>
      </w:pPr>
    </w:p>
    <w:p>
      <w:pPr>
        <w:pStyle w:val="Heading2"/>
        <w:spacing w:before="240" w:after="100"/>
      </w:pPr>
      <w:r>
        <w:rPr>
          <w:rFonts w:ascii="Garamond" w:cs="Garamond" w:eastAsia="Garamond" w:hAnsi="Garamond"/>
          <w:b/>
          <w:bCs/>
          <w:color w:val="7B3F00"/>
          <w:sz w:val="28"/>
          <w:szCs w:val="28"/>
        </w:rPr>
        <w:t xml:space="preserve">8.2  Customer &amp; Loyalty</w:t>
      </w:r>
    </w:p>
    <w:p>
      <w:pPr>
        <w:pStyle w:val="ListParagraph"/>
        <w:numPr>
          <w:ilvl w:val="0"/>
          <w:numId w:val="2"/>
        </w:numPr>
        <w:spacing w:before="60" w:after="60"/>
      </w:pPr>
      <w:r>
        <w:rPr>
          <w:rFonts w:ascii="Garamond" w:cs="Garamond" w:eastAsia="Garamond" w:hAnsi="Garamond"/>
          <w:color w:val="1A1A1A"/>
          <w:sz w:val="21"/>
          <w:szCs w:val="21"/>
        </w:rPr>
        <w:t xml:space="preserve">Launch a targeted conversion campaign for the 24,896 non-loyalty customers — even a 10% conversion rate adds ~2,490 members with measurably higher LTV.</w:t>
      </w:r>
    </w:p>
    <w:p>
      <w:pPr>
        <w:pStyle w:val="ListParagraph"/>
        <w:numPr>
          <w:ilvl w:val="0"/>
          <w:numId w:val="2"/>
        </w:numPr>
        <w:spacing w:before="60" w:after="60"/>
      </w:pPr>
      <w:r>
        <w:rPr>
          <w:rFonts w:ascii="Garamond" w:cs="Garamond" w:eastAsia="Garamond" w:hAnsi="Garamond"/>
          <w:color w:val="1A1A1A"/>
          <w:sz w:val="21"/>
          <w:szCs w:val="21"/>
        </w:rPr>
        <w:t xml:space="preserve">Use AOV trend data to identify 'high-value sleepers' — customers with historically high AOV who have reduced recent purchase frequency — for personalised win-back offers.</w:t>
      </w:r>
    </w:p>
    <w:p>
      <w:pPr>
        <w:pStyle w:val="ListParagraph"/>
        <w:numPr>
          <w:ilvl w:val="0"/>
          <w:numId w:val="2"/>
        </w:numPr>
        <w:spacing w:before="60" w:after="60"/>
      </w:pPr>
      <w:r>
        <w:rPr>
          <w:rFonts w:ascii="Garamond" w:cs="Garamond" w:eastAsia="Garamond" w:hAnsi="Garamond"/>
          <w:color w:val="1A1A1A"/>
          <w:sz w:val="21"/>
          <w:szCs w:val="21"/>
        </w:rPr>
        <w:t xml:space="preserve">Deploy gender × country segmentation (EDA Chart 2) to tailor product recommendation engines and email campaign creative by market.</w:t>
      </w:r>
    </w:p>
    <w:p>
      <w:pPr>
        <w:spacing w:before="40" w:after="40"/>
      </w:pPr>
    </w:p>
    <w:p>
      <w:pPr>
        <w:pStyle w:val="Heading2"/>
        <w:spacing w:before="240" w:after="100"/>
      </w:pPr>
      <w:r>
        <w:rPr>
          <w:rFonts w:ascii="Garamond" w:cs="Garamond" w:eastAsia="Garamond" w:hAnsi="Garamond"/>
          <w:b/>
          <w:bCs/>
          <w:color w:val="7B3F00"/>
          <w:sz w:val="28"/>
          <w:szCs w:val="28"/>
        </w:rPr>
        <w:t xml:space="preserve">8.3  Channel &amp; Geographic</w:t>
      </w:r>
    </w:p>
    <w:p>
      <w:pPr>
        <w:pStyle w:val="ListParagraph"/>
        <w:numPr>
          <w:ilvl w:val="0"/>
          <w:numId w:val="2"/>
        </w:numPr>
        <w:spacing w:before="60" w:after="60"/>
      </w:pPr>
      <w:r>
        <w:rPr>
          <w:rFonts w:ascii="Garamond" w:cs="Garamond" w:eastAsia="Garamond" w:hAnsi="Garamond"/>
          <w:color w:val="1A1A1A"/>
          <w:sz w:val="21"/>
          <w:szCs w:val="21"/>
        </w:rPr>
        <w:t xml:space="preserve">Benchmark Airport and Online channel revenue-per-store against Retail; if Online over-indexes, accelerate digital marketing investment and expand the online product range.</w:t>
      </w:r>
    </w:p>
    <w:p>
      <w:pPr>
        <w:pStyle w:val="ListParagraph"/>
        <w:numPr>
          <w:ilvl w:val="0"/>
          <w:numId w:val="2"/>
        </w:numPr>
        <w:spacing w:before="60" w:after="60"/>
      </w:pPr>
      <w:r>
        <w:rPr>
          <w:rFonts w:ascii="Garamond" w:cs="Garamond" w:eastAsia="Garamond" w:hAnsi="Garamond"/>
          <w:color w:val="1A1A1A"/>
          <w:sz w:val="21"/>
          <w:szCs w:val="21"/>
        </w:rPr>
        <w:t xml:space="preserve">Identify the bottom-quartile performing stores by revenue-per-square-metre and evaluate for closure, downsizing, or format conversion to reduce fixed cost drag.</w:t>
      </w:r>
    </w:p>
    <w:p>
      <w:pPr>
        <w:pStyle w:val="ListParagraph"/>
        <w:numPr>
          <w:ilvl w:val="0"/>
          <w:numId w:val="2"/>
        </w:numPr>
        <w:spacing w:before="60" w:after="60"/>
      </w:pPr>
      <w:r>
        <w:rPr>
          <w:rFonts w:ascii="Garamond" w:cs="Garamond" w:eastAsia="Garamond" w:hAnsi="Garamond"/>
          <w:color w:val="1A1A1A"/>
          <w:sz w:val="21"/>
          <w:szCs w:val="21"/>
        </w:rPr>
        <w:t xml:space="preserve">Explore expansion in Australia and Germany where brand presence exists but may be underweight relative to market opportunity.</w:t>
      </w:r>
    </w:p>
    <w:p>
      <w:pPr>
        <w:spacing w:before="40" w:after="40"/>
      </w:pPr>
    </w:p>
    <w:p>
      <w:pPr>
        <w:pStyle w:val="Heading2"/>
        <w:spacing w:before="240" w:after="100"/>
      </w:pPr>
      <w:r>
        <w:rPr>
          <w:rFonts w:ascii="Garamond" w:cs="Garamond" w:eastAsia="Garamond" w:hAnsi="Garamond"/>
          <w:b/>
          <w:bCs/>
          <w:color w:val="7B3F00"/>
          <w:sz w:val="28"/>
          <w:szCs w:val="28"/>
        </w:rPr>
        <w:t xml:space="preserve">8.4  Seasonal &amp; Operational</w:t>
      </w:r>
    </w:p>
    <w:p>
      <w:pPr>
        <w:pStyle w:val="ListParagraph"/>
        <w:numPr>
          <w:ilvl w:val="0"/>
          <w:numId w:val="2"/>
        </w:numPr>
        <w:spacing w:before="60" w:after="60"/>
      </w:pPr>
      <w:r>
        <w:rPr>
          <w:rFonts w:ascii="Garamond" w:cs="Garamond" w:eastAsia="Garamond" w:hAnsi="Garamond"/>
          <w:color w:val="1A1A1A"/>
          <w:sz w:val="21"/>
          <w:szCs w:val="21"/>
        </w:rPr>
        <w:t xml:space="preserve">Build a 6-week pre-season inventory build model for Valentine's Day and Christmas, ensuring zero stockouts on top 20 SKUs during peak demand windows.</w:t>
      </w:r>
    </w:p>
    <w:p>
      <w:pPr>
        <w:pStyle w:val="ListParagraph"/>
        <w:numPr>
          <w:ilvl w:val="0"/>
          <w:numId w:val="2"/>
        </w:numPr>
        <w:spacing w:before="60" w:after="60"/>
      </w:pPr>
      <w:r>
        <w:rPr>
          <w:rFonts w:ascii="Garamond" w:cs="Garamond" w:eastAsia="Garamond" w:hAnsi="Garamond"/>
          <w:color w:val="1A1A1A"/>
          <w:sz w:val="21"/>
          <w:szCs w:val="21"/>
        </w:rPr>
        <w:t xml:space="preserve">Use day-of-week analysis from the calendar dimension to optimise staffing levels and promotional scheduling across mall and retail channels.</w:t>
      </w:r>
    </w:p>
    <w:p>
      <w:pPr>
        <w:spacing w:before="80" w:after="40"/>
      </w:pPr>
    </w:p>
    <w:p>
      <w:pPr>
        <w:pStyle w:val="Heading1"/>
        <w:pBdr>
          <w:bottom w:val="single" w:color="C68642" w:sz="6" w:space="4"/>
        </w:pBdr>
        <w:spacing w:before="320" w:after="140"/>
      </w:pPr>
      <w:r>
        <w:rPr>
          <w:rFonts w:ascii="Garamond" w:cs="Garamond" w:eastAsia="Garamond" w:hAnsi="Garamond"/>
          <w:b/>
          <w:bCs/>
          <w:color w:val="3E1C00"/>
          <w:sz w:val="36"/>
          <w:szCs w:val="36"/>
        </w:rPr>
        <w:t xml:space="preserve">9. Appendix — SQL Query Reference</w:t>
      </w:r>
    </w:p>
    <w:p>
      <w:pPr>
        <w:spacing w:before="80" w:after="80"/>
        <w:jc w:val="left"/>
      </w:pPr>
      <w:r>
        <w:rPr>
          <w:rFonts w:ascii="Garamond" w:cs="Garamond" w:eastAsia="Garamond" w:hAnsi="Garamond"/>
          <w:b w:val="false"/>
          <w:bCs w:val="false"/>
          <w:color w:val="1A1A1A"/>
          <w:sz w:val="21"/>
          <w:szCs w:val="21"/>
        </w:rPr>
        <w:t xml:space="preserve">The five SQL queries in query.sql address the following business questions: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Q#</w:t>
            </w:r>
          </w:p>
        </w:tc>
        <w:tc>
          <w:tcPr>
            <w:tcW w:type="dxa" w:w="320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Theme</w:t>
            </w:r>
          </w:p>
        </w:tc>
        <w:tc>
          <w:tcPr>
            <w:tcW w:type="dxa" w:w="5760"/>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vAlign w:val="center"/>
          </w:tcPr>
          <w:p>
            <w:pPr>
              <w:jc w:val="center"/>
            </w:pPr>
            <w:r>
              <w:rPr>
                <w:rFonts w:ascii="Garamond" w:cs="Garamond" w:eastAsia="Garamond" w:hAnsi="Garamond"/>
                <w:b/>
                <w:bCs/>
                <w:color w:val="FFFFFF"/>
                <w:sz w:val="18"/>
                <w:szCs w:val="18"/>
              </w:rPr>
              <w:t xml:space="preserve">Analytical Technique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Q1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Product Revenue &amp; Margin Ranking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JOIN + GROUP BY + ORDER BY; computed profit margin as ratio</w:t>
            </w:r>
          </w:p>
        </w:tc>
      </w:tr>
      <w:tr>
        <w:tc>
          <w:tcPr>
            <w:tcW w:type="dxa" w:w="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Q2</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Seasonal Event Analysis</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CTE + CASE date-tagging + GROUP BY event type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Q3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Category Performance Benchmarking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Two-level CTE: product-level data, then category averages; CASE for flag</w:t>
            </w:r>
          </w:p>
        </w:tc>
      </w:tr>
      <w:tr>
        <w:tc>
          <w:tcPr>
            <w:tcW w:type="dxa" w:w="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Q4</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Channel Revenue Contribution</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Window function SUM() OVER() for % share calculation in a single pass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Garamond" w:cs="Garamond" w:eastAsia="Garamond" w:hAnsi="Garamond"/>
                <w:b w:val="false"/>
                <w:bCs w:val="false"/>
                <w:color w:val="1A1A1A"/>
                <w:sz w:val="20"/>
                <w:szCs w:val="20"/>
              </w:rPr>
              <w:t xml:space="preserve">Q5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Customer AOV Over Time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Garamond" w:cs="Garamond" w:eastAsia="Garamond" w:hAnsi="Garamond"/>
                <w:b w:val="false"/>
                <w:bCs w:val="false"/>
                <w:color w:val="1A1A1A"/>
                <w:sz w:val="20"/>
                <w:szCs w:val="20"/>
              </w:rPr>
              <w:t xml:space="preserve">CTE for order-level totals; outer GROUP BY customer × year for trend</w:t>
            </w:r>
          </w:p>
        </w:tc>
      </w:tr>
    </w:tbl>
    <w:p>
      <w:pPr>
        <w:spacing w:before="120" w:after="60"/>
      </w:pPr>
    </w:p>
    <w:p>
      <w:pPr>
        <w:spacing w:before="80" w:after="80"/>
        <w:jc w:val="left"/>
      </w:pPr>
      <w:r>
        <w:rPr>
          <w:rFonts w:ascii="Garamond" w:cs="Garamond" w:eastAsia="Garamond" w:hAnsi="Garamond"/>
          <w:b w:val="false"/>
          <w:bCs w:val="false"/>
          <w:color w:val="555555"/>
          <w:sz w:val="21"/>
          <w:szCs w:val="21"/>
        </w:rPr>
        <w:t xml:space="preserve">All queries are production-ready and optimised for MySQL 8.x. Indexes on product_id, customer_id, store_id, and order_date are recommended to ensure sub-second query performance on the transactional fact table as data volumes scale.</w:t>
      </w:r>
    </w:p>
    <w:p>
      <w:pPr>
        <w:spacing w:before="60" w:after="40"/>
      </w:pPr>
    </w:p>
    <w:p>
      <w:pPr>
        <w:pBdr>
          <w:bottom w:val="single" w:color="C68642" w:sz="8" w:space="1"/>
        </w:pBdr>
        <w:spacing w:before="40" w:after="40"/>
      </w:pPr>
    </w:p>
    <w:p>
      <w:pPr>
        <w:spacing w:before="60" w:after="40"/>
      </w:pPr>
    </w:p>
    <w:p>
      <w:pPr>
        <w:spacing w:before="80" w:after="80"/>
        <w:jc w:val="center"/>
      </w:pPr>
      <w:r>
        <w:rPr>
          <w:rFonts w:ascii="Garamond" w:cs="Garamond" w:eastAsia="Garamond" w:hAnsi="Garamond"/>
          <w:b w:val="false"/>
          <w:bCs w:val="false"/>
          <w:color w:val="555555"/>
          <w:sz w:val="19"/>
          <w:szCs w:val="19"/>
        </w:rPr>
        <w:t xml:space="preserve">END OF REPORT  ·  Chocolate Sales Co.  ·  Data Analytics Division  ·  Fiscal 2023–2024</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p>
  <w:p>
    <w:pPr>
      <w:tabs>
        <w:tab w:val="right" w:pos="9720"/>
      </w:tabs>
      <w:spacing w:before="80"/>
    </w:pPr>
    <w:r>
      <w:rPr>
        <w:rFonts w:ascii="Garamond" w:cs="Garamond" w:eastAsia="Garamond" w:hAnsi="Garamond"/>
        <w:color w:val="555555"/>
        <w:sz w:val="18"/>
        <w:szCs w:val="18"/>
      </w:rPr>
      <w:t xml:space="preserve">Chocolate Sales Co. — Confidential</w:t>
    </w:r>
    <w:r>
      <w:rPr>
        <w:rFonts w:ascii="Garamond" w:cs="Garamond" w:eastAsia="Garamond" w:hAnsi="Garamond"/>
        <w:color w:val="555555"/>
        <w:sz w:val="18"/>
        <w:szCs w:val="18"/>
      </w:rPr>
      <w:t xml:space="preserve">	Page </w:t>
    </w:r>
    <w:r>
      <w:rPr>
        <w:rFonts w:ascii="Garamond" w:cs="Garamond" w:eastAsia="Garamond" w:hAnsi="Garamond"/>
        <w:color w:val="555555"/>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Garamond" w:cs="Garamond" w:eastAsia="Garamond" w:hAnsi="Garamond"/>
              <w:b/>
              <w:bCs/>
              <w:color w:val="7B3F00"/>
              <w:sz w:val="22"/>
              <w:szCs w:val="22"/>
            </w:rPr>
            <w:t xml:space="preserve">🍫  Chocolate Sales Intelligence Report</w:t>
          </w:r>
        </w:p>
      </w:tc>
      <w:tc>
        <w:tcPr>
          <w:tcW w:type="dxa" w:w="37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Garamond" w:cs="Garamond" w:eastAsia="Garamond" w:hAnsi="Garamond"/>
              <w:color w:val="555555"/>
              <w:sz w:val="20"/>
              <w:szCs w:val="20"/>
            </w:rPr>
            <w:t xml:space="preserve">Fiscal Period: 2023–2024</w:t>
          </w:r>
        </w:p>
      </w:tc>
    </w:tr>
  </w:tbl>
  <w:p>
    <w:pPr>
      <w:pBdr>
        <w:bottom w:val="single" w:color="C68642"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Garamond" w:cs="Garamond" w:eastAsia="Garamond" w:hAnsi="Garamond"/>
        <w:color w:val="7B3F00"/>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Garamond" w:cs="Garamond" w:eastAsia="Garamond" w:hAnsi="Garamond"/>
      <w:b/>
      <w:bCs/>
      <w:color w:val="3E1C00"/>
      <w:sz w:val="36"/>
      <w:szCs w:val="36"/>
    </w:rPr>
  </w:style>
  <w:style w:type="paragraph" w:styleId="Heading2">
    <w:name w:val="Heading 2"/>
    <w:basedOn w:val="Normal"/>
    <w:next w:val="Normal"/>
    <w:qFormat/>
    <w:pPr>
      <w:spacing w:before="240" w:after="100"/>
      <w:outlineLvl w:val="1"/>
    </w:pPr>
    <w:rPr>
      <w:rFonts w:ascii="Garamond" w:cs="Garamond" w:eastAsia="Garamond" w:hAnsi="Garamond"/>
      <w:b/>
      <w:bCs/>
      <w:color w:val="7B3F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2026-03-22T13:44:25.587Z</dcterms:created>
  <dcterms:modified xsi:type="dcterms:W3CDTF">2026-03-22T13:44:25.588Z</dcterms:modified>
</cp:coreProperties>
</file>

<file path=docProps/custom.xml><?xml version="1.0" encoding="utf-8"?>
<Properties xmlns="http://schemas.openxmlformats.org/officeDocument/2006/custom-properties" xmlns:vt="http://schemas.openxmlformats.org/officeDocument/2006/docPropsVTypes"/>
</file>