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2E75B6"/>
          <w:sz w:val="17"/>
          <w:szCs w:val="17"/>
        </w:rPr>
        <w:t xml:space="preserve">PROJECT REPORT</w:t>
      </w:r>
    </w:p>
    <w:p>
      <w:pPr>
        <w:spacing w:after="40"/>
      </w:pPr>
      <w:r>
        <w:rPr>
          <w:b/>
          <w:bCs/>
          <w:color w:val="1F3864"/>
          <w:sz w:val="38"/>
          <w:szCs w:val="38"/>
        </w:rPr>
        <w:t xml:space="preserve">Student Mental Health &amp; Burnout Analysis</w:t>
      </w:r>
    </w:p>
    <w:p>
      <w:pPr>
        <w:spacing w:after="140"/>
      </w:pPr>
      <w:r>
        <w:rPr>
          <w:i/>
          <w:iCs/>
          <w:color w:val="595959"/>
          <w:sz w:val="19"/>
          <w:szCs w:val="19"/>
        </w:rPr>
        <w:t xml:space="preserve">An Exploratory Data Analysis of Academic Pressure, Study Habits, and Well-Being Across 150,000 Student Records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780"/>
        <w:gridCol w:w="3700"/>
        <w:gridCol w:w="1720"/>
        <w:gridCol w:w="2680"/>
      </w:tblGrid>
      <w:tr>
        <w:trPr>
          <w:tblHeader/>
        </w:trPr>
        <w:tc>
          <w:tcPr>
            <w:tcW w:type="dxa" w:w="1780"/>
            <w:tcBorders>
              <w:top w:val="single" w:color="D0D7DE" w:sz="2"/>
              <w:left w:val="single" w:color="D0D7DE" w:sz="2"/>
              <w:bottom w:val="single" w:color="D0D7DE" w:sz="2"/>
              <w:right w:val="single" w:color="D0D7DE" w:sz="2"/>
            </w:tcBorders>
            <w:shd w:fill="1F3864" w:val="clear"/>
            <w:tcMar>
              <w:top w:type="dxa" w:w="50"/>
              <w:left w:type="dxa" w:w="110"/>
              <w:bottom w:type="dxa" w:w="50"/>
              <w:right w:type="dxa" w:w="110"/>
            </w:tcMar>
            <w:vAlign w:val="center"/>
          </w:tcPr>
          <w:p>
            <w:pPr>
              <w:spacing w:line="240"/>
              <w:jc w:val="left"/>
            </w:pPr>
            <w:r>
              <w:rPr>
                <w:b/>
                <w:bCs/>
                <w:color w:val="FFFFFF"/>
                <w:sz w:val="17"/>
                <w:szCs w:val="17"/>
              </w:rPr>
              <w:t xml:space="preserve">Project Type</w:t>
            </w:r>
          </w:p>
        </w:tc>
        <w:tc>
          <w:tcPr>
            <w:tcW w:type="dxa" w:w="3700"/>
            <w:tcBorders>
              <w:top w:val="single" w:color="D0D7DE" w:sz="2"/>
              <w:left w:val="single" w:color="D0D7DE" w:sz="2"/>
              <w:bottom w:val="single" w:color="D0D7DE" w:sz="2"/>
              <w:right w:val="single" w:color="D0D7DE" w:sz="2"/>
            </w:tcBorders>
            <w:shd w:fill="1F3864" w:val="clear"/>
            <w:tcMar>
              <w:top w:type="dxa" w:w="50"/>
              <w:left w:type="dxa" w:w="110"/>
              <w:bottom w:type="dxa" w:w="50"/>
              <w:right w:type="dxa" w:w="110"/>
            </w:tcMar>
            <w:vAlign w:val="center"/>
          </w:tcPr>
          <w:p>
            <w:pPr>
              <w:spacing w:line="240"/>
              <w:jc w:val="left"/>
            </w:pPr>
            <w:r>
              <w:rPr>
                <w:b/>
                <w:bCs/>
                <w:color w:val="FFFFFF"/>
                <w:sz w:val="17"/>
                <w:szCs w:val="17"/>
              </w:rPr>
              <w:t xml:space="preserve">Tools Used</w:t>
            </w:r>
          </w:p>
        </w:tc>
        <w:tc>
          <w:tcPr>
            <w:tcW w:type="dxa" w:w="1720"/>
            <w:tcBorders>
              <w:top w:val="single" w:color="D0D7DE" w:sz="2"/>
              <w:left w:val="single" w:color="D0D7DE" w:sz="2"/>
              <w:bottom w:val="single" w:color="D0D7DE" w:sz="2"/>
              <w:right w:val="single" w:color="D0D7DE" w:sz="2"/>
            </w:tcBorders>
            <w:shd w:fill="1F3864" w:val="clear"/>
            <w:tcMar>
              <w:top w:type="dxa" w:w="50"/>
              <w:left w:type="dxa" w:w="110"/>
              <w:bottom w:type="dxa" w:w="50"/>
              <w:right w:type="dxa" w:w="110"/>
            </w:tcMar>
            <w:vAlign w:val="center"/>
          </w:tcPr>
          <w:p>
            <w:pPr>
              <w:spacing w:line="240"/>
              <w:jc w:val="left"/>
            </w:pPr>
            <w:r>
              <w:rPr>
                <w:b/>
                <w:bCs/>
                <w:color w:val="FFFFFF"/>
                <w:sz w:val="17"/>
                <w:szCs w:val="17"/>
              </w:rPr>
              <w:t xml:space="preserve">Dataset Size</w:t>
            </w:r>
          </w:p>
        </w:tc>
        <w:tc>
          <w:tcPr>
            <w:tcW w:type="dxa" w:w="2680"/>
            <w:tcBorders>
              <w:top w:val="single" w:color="D0D7DE" w:sz="2"/>
              <w:left w:val="single" w:color="D0D7DE" w:sz="2"/>
              <w:bottom w:val="single" w:color="D0D7DE" w:sz="2"/>
              <w:right w:val="single" w:color="D0D7DE" w:sz="2"/>
            </w:tcBorders>
            <w:shd w:fill="1F3864" w:val="clear"/>
            <w:tcMar>
              <w:top w:type="dxa" w:w="50"/>
              <w:left w:type="dxa" w:w="110"/>
              <w:bottom w:type="dxa" w:w="50"/>
              <w:right w:type="dxa" w:w="110"/>
            </w:tcMar>
            <w:vAlign w:val="center"/>
          </w:tcPr>
          <w:p>
            <w:pPr>
              <w:spacing w:line="240"/>
              <w:jc w:val="left"/>
            </w:pPr>
            <w:r>
              <w:rPr>
                <w:b/>
                <w:bCs/>
                <w:color w:val="FFFFFF"/>
                <w:sz w:val="17"/>
                <w:szCs w:val="17"/>
              </w:rPr>
              <w:t xml:space="preserve">Repository</w:t>
            </w:r>
          </w:p>
        </w:tc>
      </w:tr>
      <w:tr>
        <w:tc>
          <w:tcPr>
            <w:tcW w:type="dxa" w:w="178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Exploratory Data Analysis (EDA)</w:t>
            </w:r>
          </w:p>
        </w:tc>
        <w:tc>
          <w:tcPr>
            <w:tcW w:type="dxa" w:w="370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Python, Pandas, NumPy, Matplotlib, Seaborn, Jupyter/VS Code</w:t>
            </w:r>
          </w:p>
        </w:tc>
        <w:tc>
          <w:tcPr>
            <w:tcW w:type="dxa" w:w="172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~150,000 records</w:t>
            </w:r>
          </w:p>
        </w:tc>
        <w:tc>
          <w:tcPr>
            <w:tcW w:type="dxa" w:w="268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github.com/Vivek7ok/python_project</w:t>
            </w:r>
          </w:p>
        </w:tc>
      </w:tr>
    </w:tbl>
    <w:p>
      <w:pPr>
        <w:spacing w:after="160"/>
      </w:pPr>
      <w:r>
        <w:t xml:space="preserve"/>
      </w:r>
    </w:p>
    <w:p>
      <w:pPr>
        <w:pStyle w:val="Heading1"/>
        <w:pBdr>
          <w:bottom w:val="single" w:color="2E75B6" w:sz="6" w:space="3"/>
        </w:pBdr>
      </w:pPr>
      <w:r>
        <w:t xml:space="preserve">1. Executive Summary</w:t>
      </w:r>
    </w:p>
    <w:p>
      <w:pPr>
        <w:spacing w:after="85" w:line="242"/>
      </w:pPr>
      <w:r>
        <w:rPr>
          <w:color w:val="262626"/>
          <w:sz w:val="18"/>
          <w:szCs w:val="18"/>
        </w:rPr>
        <w:t xml:space="preserve">Student mental health has become one of the most pressing concerns in modern education. Rising academic competition, dense curricula, and lifestyle imbalances have contributed to a measurable increase in stress, anxiety, and burnout among students worldwide. This project, “Student Mental Health &amp; Burnout Analysis,” is an end-to-end Exploratory Data Analysis (EDA) built in Python to study these patterns using a dataset of approximately 150,000 student records covering academic pressure, study habits, sleep patterns, stress levels, and burnout indicators.</w:t>
      </w:r>
    </w:p>
    <w:p>
      <w:pPr>
        <w:spacing w:after="85" w:line="242"/>
      </w:pPr>
      <w:r>
        <w:rPr>
          <w:color w:val="262626"/>
          <w:sz w:val="18"/>
          <w:szCs w:val="18"/>
        </w:rPr>
        <w:t xml:space="preserve">The goal was not to build a predictive model, but to deeply understand the behavioral and academic factors that drive student burnout. Using Pandas and NumPy for data wrangling and Matplotlib/Seaborn for visualization, the analysis uncovers how study hours, sleep duration, academic pressure, and gender interact to influence stress and burnout outcomes, following a structured pipeline of cleaning, validation, univariate analysis, bivariate analysis, and correlation studies in Jupyter Notebook / VS Code.</w:t>
      </w:r>
    </w:p>
    <w:p>
      <w:pPr>
        <w:spacing w:after="85" w:line="242"/>
      </w:pPr>
      <w:r>
        <w:rPr>
          <w:color w:val="262626"/>
          <w:sz w:val="18"/>
          <w:szCs w:val="18"/>
        </w:rPr>
        <w:t xml:space="preserve">Burnout doesn’t just affect academic performance — it has lasting consequences on emotional well-being and a student’s ability to function in academic and social life. The purpose of this analysis is to convert raw behavioral data into actionable insight that a college administration, counseling department, or ed-tech company could use to identify at-risk student segments and design targeted interventions, with the expected outcome of a clear, prioritized view of which factors most strongly predict burnout.</w:t>
      </w:r>
    </w:p>
    <w:p>
      <w:pPr>
        <w:pStyle w:val="Heading1"/>
        <w:pBdr>
          <w:bottom w:val="single" w:color="2E75B6" w:sz="6" w:space="3"/>
        </w:pBdr>
      </w:pPr>
      <w:r>
        <w:t xml:space="preserve">2. Business Problem / Objective</w:t>
      </w:r>
    </w:p>
    <w:p>
      <w:pPr>
        <w:pStyle w:val="Heading2"/>
      </w:pPr>
      <w:r>
        <w:t xml:space="preserve">2.1 The Problem</w:t>
      </w:r>
    </w:p>
    <w:p>
      <w:pPr>
        <w:spacing w:after="85" w:line="242"/>
      </w:pPr>
      <w:r>
        <w:rPr>
          <w:color w:val="262626"/>
          <w:sz w:val="18"/>
          <w:szCs w:val="18"/>
        </w:rPr>
        <w:t xml:space="preserve">Academic institutions collect enormous volumes of data on attendance and grades, yet rarely track student well-being systematically. Burnout often goes unnoticed until it shows up as declining grades or absenteeism — by which point intervention is far less effective. This project treats student well-being as a measurable dataset, the same way a business analyzes churn, to identify the leading indicators of burnout before they escalate.</w:t>
      </w:r>
    </w:p>
    <w:p>
      <w:pPr>
        <w:pStyle w:val="Heading2"/>
      </w:pPr>
      <w:r>
        <w:t xml:space="preserve">2.2 Why Educational Institutions Should Care</w:t>
      </w:r>
    </w:p>
    <w:p>
      <w:pPr>
        <w:spacing w:after="85" w:line="242"/>
      </w:pPr>
      <w:r>
        <w:rPr>
          <w:color w:val="262626"/>
          <w:sz w:val="18"/>
          <w:szCs w:val="18"/>
        </w:rPr>
        <w:t xml:space="preserve">Student burnout carries real, measurable costs for institutions, not just for individual students, making it a strategic priority rather than an optional welfare initiative.</w:t>
      </w:r>
    </w:p>
    <w:p>
      <w:pPr>
        <w:pStyle w:val="ListParagraph"/>
        <w:numPr>
          <w:ilvl w:val="0"/>
          <w:numId w:val="2"/>
        </w:numPr>
        <w:spacing w:after="40" w:line="238"/>
      </w:pPr>
      <w:r>
        <w:rPr>
          <w:color w:val="262626"/>
          <w:sz w:val="18"/>
          <w:szCs w:val="18"/>
        </w:rPr>
        <w:t xml:space="preserve">Academic Performance: Burned-out students show declining grades, reduced focus, and lower assignment completion, directly affecting institutional outcomes.</w:t>
      </w:r>
    </w:p>
    <w:p>
      <w:pPr>
        <w:pStyle w:val="ListParagraph"/>
        <w:numPr>
          <w:ilvl w:val="0"/>
          <w:numId w:val="2"/>
        </w:numPr>
        <w:spacing w:after="40" w:line="238"/>
      </w:pPr>
      <w:r>
        <w:rPr>
          <w:color w:val="262626"/>
          <w:sz w:val="18"/>
          <w:szCs w:val="18"/>
        </w:rPr>
        <w:t xml:space="preserve">Retention and Dropout Rates: Chronic stress is a leading contributor to dropout, impacting institutional revenue and long-term enrollment.</w:t>
      </w:r>
    </w:p>
    <w:p>
      <w:pPr>
        <w:pStyle w:val="ListParagraph"/>
        <w:numPr>
          <w:ilvl w:val="0"/>
          <w:numId w:val="2"/>
        </w:numPr>
        <w:spacing w:after="40" w:line="238"/>
      </w:pPr>
      <w:r>
        <w:rPr>
          <w:color w:val="262626"/>
          <w:sz w:val="18"/>
          <w:szCs w:val="18"/>
        </w:rPr>
        <w:t xml:space="preserve">Duty of Care and Reputation: Institutions are increasingly held accountable for student welfare, with reputational risk attached to inaction.</w:t>
      </w:r>
    </w:p>
    <w:p>
      <w:pPr>
        <w:pStyle w:val="ListParagraph"/>
        <w:numPr>
          <w:ilvl w:val="0"/>
          <w:numId w:val="2"/>
        </w:numPr>
        <w:spacing w:after="40" w:line="238"/>
      </w:pPr>
      <w:r>
        <w:rPr>
          <w:color w:val="262626"/>
          <w:sz w:val="18"/>
          <w:szCs w:val="18"/>
        </w:rPr>
        <w:t xml:space="preserve">Resource Allocation: Without data, counseling resources are spread evenly rather than targeted at the students who need them most.</w:t>
      </w:r>
    </w:p>
    <w:p>
      <w:pPr>
        <w:pStyle w:val="Heading2"/>
      </w:pPr>
      <w:r>
        <w:t xml:space="preserve">2.3 Key Questions This Analysis Attempts to Answer</w:t>
      </w:r>
    </w:p>
    <w:p>
      <w:pPr>
        <w:pStyle w:val="ListParagraph"/>
        <w:numPr>
          <w:ilvl w:val="0"/>
          <w:numId w:val="3"/>
        </w:numPr>
        <w:spacing w:after="50" w:line="238"/>
      </w:pPr>
      <w:r>
        <w:rPr>
          <w:color w:val="262626"/>
          <w:sz w:val="18"/>
          <w:szCs w:val="18"/>
        </w:rPr>
        <w:t xml:space="preserve">How are stress and burnout distributed across the student population, and are there visible risk clusters?</w:t>
      </w:r>
    </w:p>
    <w:p>
      <w:pPr>
        <w:pStyle w:val="ListParagraph"/>
        <w:numPr>
          <w:ilvl w:val="0"/>
          <w:numId w:val="3"/>
        </w:numPr>
        <w:spacing w:after="50" w:line="238"/>
      </w:pPr>
      <w:r>
        <w:rPr>
          <w:color w:val="262626"/>
          <w:sz w:val="18"/>
          <w:szCs w:val="18"/>
        </w:rPr>
        <w:t xml:space="preserve">Does higher academic pressure consistently translate into higher burnout?</w:t>
      </w:r>
    </w:p>
    <w:p>
      <w:pPr>
        <w:pStyle w:val="ListParagraph"/>
        <w:numPr>
          <w:ilvl w:val="0"/>
          <w:numId w:val="3"/>
        </w:numPr>
        <w:spacing w:after="50" w:line="238"/>
      </w:pPr>
      <w:r>
        <w:rPr>
          <w:color w:val="262626"/>
          <w:sz w:val="18"/>
          <w:szCs w:val="18"/>
        </w:rPr>
        <w:t xml:space="preserve">What is the relationship between study hours and burnout — does a tipping point exist?</w:t>
      </w:r>
    </w:p>
    <w:p>
      <w:pPr>
        <w:pStyle w:val="ListParagraph"/>
        <w:numPr>
          <w:ilvl w:val="0"/>
          <w:numId w:val="3"/>
        </w:numPr>
        <w:spacing w:after="50" w:line="238"/>
      </w:pPr>
      <w:r>
        <w:rPr>
          <w:color w:val="262626"/>
          <w:sz w:val="18"/>
          <w:szCs w:val="18"/>
        </w:rPr>
        <w:t xml:space="preserve">How does sleep duration affect stress, and is there a clear risk threshold?</w:t>
      </w:r>
    </w:p>
    <w:p>
      <w:pPr>
        <w:pStyle w:val="ListParagraph"/>
        <w:numPr>
          <w:ilvl w:val="0"/>
          <w:numId w:val="3"/>
        </w:numPr>
        <w:spacing w:after="50" w:line="238"/>
      </w:pPr>
      <w:r>
        <w:rPr>
          <w:color w:val="262626"/>
          <w:sz w:val="18"/>
          <w:szCs w:val="18"/>
        </w:rPr>
        <w:t xml:space="preserve">Are there meaningful differences in stress and burnout across gender groups?</w:t>
      </w:r>
    </w:p>
    <w:p>
      <w:pPr>
        <w:pStyle w:val="ListParagraph"/>
        <w:numPr>
          <w:ilvl w:val="0"/>
          <w:numId w:val="3"/>
        </w:numPr>
        <w:spacing w:after="50" w:line="238"/>
      </w:pPr>
      <w:r>
        <w:rPr>
          <w:color w:val="262626"/>
          <w:sz w:val="18"/>
          <w:szCs w:val="18"/>
        </w:rPr>
        <w:t xml:space="preserve">Which combination of factors most strongly correlates with burnout, and can these flag high-risk students early?</w:t>
      </w:r>
    </w:p>
    <w:p>
      <w:pPr>
        <w:pStyle w:val="Heading1"/>
        <w:pBdr>
          <w:bottom w:val="single" w:color="2E75B6" w:sz="6" w:space="3"/>
        </w:pBdr>
      </w:pPr>
      <w:r>
        <w:t xml:space="preserve">3. Dataset Overview</w:t>
      </w:r>
    </w:p>
    <w:p>
      <w:pPr>
        <w:spacing w:after="85" w:line="242"/>
      </w:pPr>
      <w:r>
        <w:rPr>
          <w:color w:val="262626"/>
          <w:sz w:val="18"/>
          <w:szCs w:val="18"/>
        </w:rPr>
        <w:t xml:space="preserve">The dataset used in this project is a large-scale collection of student well-being and academic behavior records, well-suited for population-level EDA. It captures a broad cross-section of students, allowing patterns to be studied with strong statistical reliability rather than on a small, potentially biased sample.</w:t>
      </w:r>
    </w:p>
    <w:p>
      <w:pPr>
        <w:pStyle w:val="Heading2"/>
      </w:pPr>
      <w:r>
        <w:t xml:space="preserve">3.1 Dataset Snapshot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3050"/>
        <w:gridCol w:w="6830"/>
      </w:tblGrid>
      <w:tr>
        <w:trPr>
          <w:tblHeader/>
        </w:trPr>
        <w:tc>
          <w:tcPr>
            <w:tcW w:type="dxa" w:w="3050"/>
            <w:tcBorders>
              <w:top w:val="single" w:color="D0D7DE" w:sz="2"/>
              <w:left w:val="single" w:color="D0D7DE" w:sz="2"/>
              <w:bottom w:val="single" w:color="D0D7DE" w:sz="2"/>
              <w:right w:val="single" w:color="D0D7DE" w:sz="2"/>
            </w:tcBorders>
            <w:shd w:fill="1F3864" w:val="clear"/>
            <w:tcMar>
              <w:top w:type="dxa" w:w="50"/>
              <w:left w:type="dxa" w:w="110"/>
              <w:bottom w:type="dxa" w:w="50"/>
              <w:right w:type="dxa" w:w="110"/>
            </w:tcMar>
            <w:vAlign w:val="center"/>
          </w:tcPr>
          <w:p>
            <w:pPr>
              <w:spacing w:line="240"/>
              <w:jc w:val="left"/>
            </w:pPr>
            <w:r>
              <w:rPr>
                <w:b/>
                <w:bCs/>
                <w:color w:val="FFFFFF"/>
                <w:sz w:val="17"/>
                <w:szCs w:val="17"/>
              </w:rPr>
              <w:t xml:space="preserve">Attribute</w:t>
            </w:r>
          </w:p>
        </w:tc>
        <w:tc>
          <w:tcPr>
            <w:tcW w:type="dxa" w:w="6830"/>
            <w:tcBorders>
              <w:top w:val="single" w:color="D0D7DE" w:sz="2"/>
              <w:left w:val="single" w:color="D0D7DE" w:sz="2"/>
              <w:bottom w:val="single" w:color="D0D7DE" w:sz="2"/>
              <w:right w:val="single" w:color="D0D7DE" w:sz="2"/>
            </w:tcBorders>
            <w:shd w:fill="1F3864" w:val="clear"/>
            <w:tcMar>
              <w:top w:type="dxa" w:w="50"/>
              <w:left w:type="dxa" w:w="110"/>
              <w:bottom w:type="dxa" w:w="50"/>
              <w:right w:type="dxa" w:w="110"/>
            </w:tcMar>
            <w:vAlign w:val="center"/>
          </w:tcPr>
          <w:p>
            <w:pPr>
              <w:spacing w:line="240"/>
              <w:jc w:val="left"/>
            </w:pPr>
            <w:r>
              <w:rPr>
                <w:b/>
                <w:bCs/>
                <w:color w:val="FFFFFF"/>
                <w:sz w:val="17"/>
                <w:szCs w:val="17"/>
              </w:rPr>
              <w:t xml:space="preserve">Detail</w:t>
            </w:r>
          </w:p>
        </w:tc>
      </w:tr>
      <w:tr>
        <w:tc>
          <w:tcPr>
            <w:tcW w:type="dxa" w:w="305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Total Records</w:t>
            </w:r>
          </w:p>
        </w:tc>
        <w:tc>
          <w:tcPr>
            <w:tcW w:type="dxa" w:w="683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~150,000 student entries</w:t>
            </w:r>
          </w:p>
        </w:tc>
      </w:tr>
      <w:tr>
        <w:tc>
          <w:tcPr>
            <w:tcW w:type="dxa" w:w="3050"/>
            <w:tcBorders>
              <w:top w:val="single" w:color="D0D7DE" w:sz="2"/>
              <w:left w:val="single" w:color="D0D7DE" w:sz="2"/>
              <w:bottom w:val="single" w:color="D0D7DE" w:sz="2"/>
              <w:right w:val="single" w:color="D0D7DE" w:sz="2"/>
            </w:tcBorders>
            <w:shd w:fill="F2F2F2"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Total Features</w:t>
            </w:r>
          </w:p>
        </w:tc>
        <w:tc>
          <w:tcPr>
            <w:tcW w:type="dxa" w:w="6830"/>
            <w:tcBorders>
              <w:top w:val="single" w:color="D0D7DE" w:sz="2"/>
              <w:left w:val="single" w:color="D0D7DE" w:sz="2"/>
              <w:bottom w:val="single" w:color="D0D7DE" w:sz="2"/>
              <w:right w:val="single" w:color="D0D7DE" w:sz="2"/>
            </w:tcBorders>
            <w:shd w:fill="F2F2F2"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12–18 columns (demographic, academic, and lifestyle variables)</w:t>
            </w:r>
          </w:p>
        </w:tc>
      </w:tr>
      <w:tr>
        <w:tc>
          <w:tcPr>
            <w:tcW w:type="dxa" w:w="305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Data Granularity</w:t>
            </w:r>
          </w:p>
        </w:tc>
        <w:tc>
          <w:tcPr>
            <w:tcW w:type="dxa" w:w="683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One row per student record</w:t>
            </w:r>
          </w:p>
        </w:tc>
      </w:tr>
      <w:tr>
        <w:tc>
          <w:tcPr>
            <w:tcW w:type="dxa" w:w="3050"/>
            <w:tcBorders>
              <w:top w:val="single" w:color="D0D7DE" w:sz="2"/>
              <w:left w:val="single" w:color="D0D7DE" w:sz="2"/>
              <w:bottom w:val="single" w:color="D0D7DE" w:sz="2"/>
              <w:right w:val="single" w:color="D0D7DE" w:sz="2"/>
            </w:tcBorders>
            <w:shd w:fill="F2F2F2"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Format</w:t>
            </w:r>
          </w:p>
        </w:tc>
        <w:tc>
          <w:tcPr>
            <w:tcW w:type="dxa" w:w="6830"/>
            <w:tcBorders>
              <w:top w:val="single" w:color="D0D7DE" w:sz="2"/>
              <w:left w:val="single" w:color="D0D7DE" w:sz="2"/>
              <w:bottom w:val="single" w:color="D0D7DE" w:sz="2"/>
              <w:right w:val="single" w:color="D0D7DE" w:sz="2"/>
            </w:tcBorders>
            <w:shd w:fill="F2F2F2"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Structured tabular data (CSV)</w:t>
            </w:r>
          </w:p>
        </w:tc>
      </w:tr>
      <w:tr>
        <w:tc>
          <w:tcPr>
            <w:tcW w:type="dxa" w:w="305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Domain</w:t>
            </w:r>
          </w:p>
        </w:tc>
        <w:tc>
          <w:tcPr>
            <w:tcW w:type="dxa" w:w="683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Education / Student Well-Being</w:t>
            </w:r>
          </w:p>
        </w:tc>
      </w:tr>
    </w:tbl>
    <w:p>
      <w:pPr>
        <w:pStyle w:val="Heading2"/>
      </w:pPr>
      <w:r>
        <w:t xml:space="preserve">3.2 Description of Important Columns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3050"/>
        <w:gridCol w:w="6830"/>
      </w:tblGrid>
      <w:tr>
        <w:trPr>
          <w:tblHeader/>
        </w:trPr>
        <w:tc>
          <w:tcPr>
            <w:tcW w:type="dxa" w:w="3050"/>
            <w:tcBorders>
              <w:top w:val="single" w:color="D0D7DE" w:sz="2"/>
              <w:left w:val="single" w:color="D0D7DE" w:sz="2"/>
              <w:bottom w:val="single" w:color="D0D7DE" w:sz="2"/>
              <w:right w:val="single" w:color="D0D7DE" w:sz="2"/>
            </w:tcBorders>
            <w:shd w:fill="1F3864" w:val="clear"/>
            <w:tcMar>
              <w:top w:type="dxa" w:w="50"/>
              <w:left w:type="dxa" w:w="110"/>
              <w:bottom w:type="dxa" w:w="50"/>
              <w:right w:type="dxa" w:w="110"/>
            </w:tcMar>
            <w:vAlign w:val="center"/>
          </w:tcPr>
          <w:p>
            <w:pPr>
              <w:spacing w:line="240"/>
              <w:jc w:val="left"/>
            </w:pPr>
            <w:r>
              <w:rPr>
                <w:b/>
                <w:bCs/>
                <w:color w:val="FFFFFF"/>
                <w:sz w:val="17"/>
                <w:szCs w:val="17"/>
              </w:rPr>
              <w:t xml:space="preserve">Column</w:t>
            </w:r>
          </w:p>
        </w:tc>
        <w:tc>
          <w:tcPr>
            <w:tcW w:type="dxa" w:w="6830"/>
            <w:tcBorders>
              <w:top w:val="single" w:color="D0D7DE" w:sz="2"/>
              <w:left w:val="single" w:color="D0D7DE" w:sz="2"/>
              <w:bottom w:val="single" w:color="D0D7DE" w:sz="2"/>
              <w:right w:val="single" w:color="D0D7DE" w:sz="2"/>
            </w:tcBorders>
            <w:shd w:fill="1F3864" w:val="clear"/>
            <w:tcMar>
              <w:top w:type="dxa" w:w="50"/>
              <w:left w:type="dxa" w:w="110"/>
              <w:bottom w:type="dxa" w:w="50"/>
              <w:right w:type="dxa" w:w="110"/>
            </w:tcMar>
            <w:vAlign w:val="center"/>
          </w:tcPr>
          <w:p>
            <w:pPr>
              <w:spacing w:line="240"/>
              <w:jc w:val="left"/>
            </w:pPr>
            <w:r>
              <w:rPr>
                <w:b/>
                <w:bCs/>
                <w:color w:val="FFFFFF"/>
                <w:sz w:val="17"/>
                <w:szCs w:val="17"/>
              </w:rPr>
              <w:t xml:space="preserve">Description</w:t>
            </w:r>
          </w:p>
        </w:tc>
      </w:tr>
      <w:tr>
        <w:tc>
          <w:tcPr>
            <w:tcW w:type="dxa" w:w="305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Student ID</w:t>
            </w:r>
          </w:p>
        </w:tc>
        <w:tc>
          <w:tcPr>
            <w:tcW w:type="dxa" w:w="683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Unique identifier for each student record</w:t>
            </w:r>
          </w:p>
        </w:tc>
      </w:tr>
      <w:tr>
        <w:tc>
          <w:tcPr>
            <w:tcW w:type="dxa" w:w="3050"/>
            <w:tcBorders>
              <w:top w:val="single" w:color="D0D7DE" w:sz="2"/>
              <w:left w:val="single" w:color="D0D7DE" w:sz="2"/>
              <w:bottom w:val="single" w:color="D0D7DE" w:sz="2"/>
              <w:right w:val="single" w:color="D0D7DE" w:sz="2"/>
            </w:tcBorders>
            <w:shd w:fill="F2F2F2"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Age / Gender</w:t>
            </w:r>
          </w:p>
        </w:tc>
        <w:tc>
          <w:tcPr>
            <w:tcW w:type="dxa" w:w="6830"/>
            <w:tcBorders>
              <w:top w:val="single" w:color="D0D7DE" w:sz="2"/>
              <w:left w:val="single" w:color="D0D7DE" w:sz="2"/>
              <w:bottom w:val="single" w:color="D0D7DE" w:sz="2"/>
              <w:right w:val="single" w:color="D0D7DE" w:sz="2"/>
            </w:tcBorders>
            <w:shd w:fill="F2F2F2"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Demographic attributes used for segment-level comparison</w:t>
            </w:r>
          </w:p>
        </w:tc>
      </w:tr>
      <w:tr>
        <w:tc>
          <w:tcPr>
            <w:tcW w:type="dxa" w:w="305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Academic Pressure</w:t>
            </w:r>
          </w:p>
        </w:tc>
        <w:tc>
          <w:tcPr>
            <w:tcW w:type="dxa" w:w="683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Self-reported or derived score indicating academic workload pressure</w:t>
            </w:r>
          </w:p>
        </w:tc>
      </w:tr>
      <w:tr>
        <w:tc>
          <w:tcPr>
            <w:tcW w:type="dxa" w:w="3050"/>
            <w:tcBorders>
              <w:top w:val="single" w:color="D0D7DE" w:sz="2"/>
              <w:left w:val="single" w:color="D0D7DE" w:sz="2"/>
              <w:bottom w:val="single" w:color="D0D7DE" w:sz="2"/>
              <w:right w:val="single" w:color="D0D7DE" w:sz="2"/>
            </w:tcBorders>
            <w:shd w:fill="F2F2F2"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Study Hours</w:t>
            </w:r>
          </w:p>
        </w:tc>
        <w:tc>
          <w:tcPr>
            <w:tcW w:type="dxa" w:w="6830"/>
            <w:tcBorders>
              <w:top w:val="single" w:color="D0D7DE" w:sz="2"/>
              <w:left w:val="single" w:color="D0D7DE" w:sz="2"/>
              <w:bottom w:val="single" w:color="D0D7DE" w:sz="2"/>
              <w:right w:val="single" w:color="D0D7DE" w:sz="2"/>
            </w:tcBorders>
            <w:shd w:fill="F2F2F2"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Average number of hours spent studying per day</w:t>
            </w:r>
          </w:p>
        </w:tc>
      </w:tr>
      <w:tr>
        <w:tc>
          <w:tcPr>
            <w:tcW w:type="dxa" w:w="305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Sleep Hours</w:t>
            </w:r>
          </w:p>
        </w:tc>
        <w:tc>
          <w:tcPr>
            <w:tcW w:type="dxa" w:w="683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Average number of hours slept per night</w:t>
            </w:r>
          </w:p>
        </w:tc>
      </w:tr>
      <w:tr>
        <w:tc>
          <w:tcPr>
            <w:tcW w:type="dxa" w:w="3050"/>
            <w:tcBorders>
              <w:top w:val="single" w:color="D0D7DE" w:sz="2"/>
              <w:left w:val="single" w:color="D0D7DE" w:sz="2"/>
              <w:bottom w:val="single" w:color="D0D7DE" w:sz="2"/>
              <w:right w:val="single" w:color="D0D7DE" w:sz="2"/>
            </w:tcBorders>
            <w:shd w:fill="F2F2F2"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Stress Level</w:t>
            </w:r>
          </w:p>
        </w:tc>
        <w:tc>
          <w:tcPr>
            <w:tcW w:type="dxa" w:w="6830"/>
            <w:tcBorders>
              <w:top w:val="single" w:color="D0D7DE" w:sz="2"/>
              <w:left w:val="single" w:color="D0D7DE" w:sz="2"/>
              <w:bottom w:val="single" w:color="D0D7DE" w:sz="2"/>
              <w:right w:val="single" w:color="D0D7DE" w:sz="2"/>
            </w:tcBorders>
            <w:shd w:fill="F2F2F2"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Numerical or categorical indicator of perceived stress</w:t>
            </w:r>
          </w:p>
        </w:tc>
      </w:tr>
      <w:tr>
        <w:tc>
          <w:tcPr>
            <w:tcW w:type="dxa" w:w="305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Burnout Score</w:t>
            </w:r>
          </w:p>
        </w:tc>
        <w:tc>
          <w:tcPr>
            <w:tcW w:type="dxa" w:w="683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Composite indicator reflecting emotional and academic exhaustion</w:t>
            </w:r>
          </w:p>
        </w:tc>
      </w:tr>
      <w:tr>
        <w:tc>
          <w:tcPr>
            <w:tcW w:type="dxa" w:w="3050"/>
            <w:tcBorders>
              <w:top w:val="single" w:color="D0D7DE" w:sz="2"/>
              <w:left w:val="single" w:color="D0D7DE" w:sz="2"/>
              <w:bottom w:val="single" w:color="D0D7DE" w:sz="2"/>
              <w:right w:val="single" w:color="D0D7DE" w:sz="2"/>
            </w:tcBorders>
            <w:shd w:fill="F2F2F2"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CGPA / Performance</w:t>
            </w:r>
          </w:p>
        </w:tc>
        <w:tc>
          <w:tcPr>
            <w:tcW w:type="dxa" w:w="6830"/>
            <w:tcBorders>
              <w:top w:val="single" w:color="D0D7DE" w:sz="2"/>
              <w:left w:val="single" w:color="D0D7DE" w:sz="2"/>
              <w:bottom w:val="single" w:color="D0D7DE" w:sz="2"/>
              <w:right w:val="single" w:color="D0D7DE" w:sz="2"/>
            </w:tcBorders>
            <w:shd w:fill="F2F2F2"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Academic performance metric used to study its link with burnout</w:t>
            </w:r>
          </w:p>
        </w:tc>
      </w:tr>
      <w:tr>
        <w:tc>
          <w:tcPr>
            <w:tcW w:type="dxa" w:w="305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Extracurricular Activity</w:t>
            </w:r>
          </w:p>
        </w:tc>
        <w:tc>
          <w:tcPr>
            <w:tcW w:type="dxa" w:w="6830"/>
            <w:tcBorders>
              <w:top w:val="single" w:color="D0D7DE" w:sz="2"/>
              <w:left w:val="single" w:color="D0D7DE" w:sz="2"/>
              <w:bottom w:val="single" w:color="D0D7DE" w:sz="2"/>
              <w:right w:val="single" w:color="D0D7DE" w:sz="2"/>
            </w:tcBorders>
            <w:shd w:fill="FFFFFF" w:val="clear"/>
            <w:tcMar>
              <w:top w:type="dxa" w:w="50"/>
              <w:left w:type="dxa" w:w="110"/>
              <w:bottom w:type="dxa" w:w="50"/>
              <w:right w:type="dxa" w:w="110"/>
            </w:tcMar>
            <w:vAlign w:val="center"/>
          </w:tcPr>
          <w:p>
            <w:pPr>
              <w:spacing w:line="240"/>
              <w:jc w:val="left"/>
            </w:pPr>
            <w:r>
              <w:rPr>
                <w:b w:val="false"/>
                <w:bCs w:val="false"/>
                <w:color w:val="262626"/>
                <w:sz w:val="17"/>
                <w:szCs w:val="17"/>
              </w:rPr>
              <w:t xml:space="preserve">Participation flag used to study its buffering effect on stress</w:t>
            </w:r>
          </w:p>
        </w:tc>
      </w:tr>
    </w:tbl>
    <w:p>
      <w:pPr>
        <w:pStyle w:val="Heading2"/>
      </w:pPr>
      <w:r>
        <w:t xml:space="preserve">3.3 Dataset Strengths</w:t>
      </w:r>
    </w:p>
    <w:p>
      <w:pPr>
        <w:pStyle w:val="ListParagraph"/>
        <w:numPr>
          <w:ilvl w:val="0"/>
          <w:numId w:val="2"/>
        </w:numPr>
        <w:spacing w:after="40" w:line="238"/>
      </w:pPr>
      <w:r>
        <w:rPr>
          <w:color w:val="262626"/>
          <w:sz w:val="18"/>
          <w:szCs w:val="18"/>
        </w:rPr>
        <w:t xml:space="preserve">Large Sample Size: ~150,000 records offer strong statistical power, reducing the risk of patterns driven by noise or outliers.</w:t>
      </w:r>
    </w:p>
    <w:p>
      <w:pPr>
        <w:pStyle w:val="ListParagraph"/>
        <w:numPr>
          <w:ilvl w:val="0"/>
          <w:numId w:val="2"/>
        </w:numPr>
        <w:spacing w:after="40" w:line="238"/>
      </w:pPr>
      <w:r>
        <w:rPr>
          <w:color w:val="262626"/>
          <w:sz w:val="18"/>
          <w:szCs w:val="18"/>
        </w:rPr>
        <w:t xml:space="preserve">Behavioral Depth: Combines academic variables (pressure, performance) with lifestyle variables (sleep, study hours) for a holistic view.</w:t>
      </w:r>
    </w:p>
    <w:p>
      <w:pPr>
        <w:pStyle w:val="ListParagraph"/>
        <w:numPr>
          <w:ilvl w:val="0"/>
          <w:numId w:val="2"/>
        </w:numPr>
        <w:spacing w:after="40" w:line="238"/>
      </w:pPr>
      <w:r>
        <w:rPr>
          <w:color w:val="262626"/>
          <w:sz w:val="18"/>
          <w:szCs w:val="18"/>
        </w:rPr>
        <w:t xml:space="preserve">Demographic Coverage: Gender and age fields allow meaningful segment-level comparison for targeted interventions.</w:t>
      </w:r>
    </w:p>
    <w:p>
      <w:pPr>
        <w:pStyle w:val="ListParagraph"/>
        <w:numPr>
          <w:ilvl w:val="0"/>
          <w:numId w:val="2"/>
        </w:numPr>
        <w:spacing w:after="40" w:line="238"/>
      </w:pPr>
      <w:r>
        <w:rPr>
          <w:color w:val="262626"/>
          <w:sz w:val="18"/>
          <w:szCs w:val="18"/>
        </w:rPr>
        <w:t xml:space="preserve">Real-World Relevance: Variables map directly to factors institutions can realistically observe or influence.</w:t>
      </w:r>
    </w:p>
    <w:p>
      <w:pPr>
        <w:pStyle w:val="Heading2"/>
      </w:pPr>
      <w:r>
        <w:t xml:space="preserve">3.4 Dataset Limitations</w:t>
      </w:r>
    </w:p>
    <w:p>
      <w:pPr>
        <w:pStyle w:val="ListParagraph"/>
        <w:numPr>
          <w:ilvl w:val="0"/>
          <w:numId w:val="2"/>
        </w:numPr>
        <w:spacing w:after="40" w:line="238"/>
      </w:pPr>
      <w:r>
        <w:rPr>
          <w:color w:val="262626"/>
          <w:sz w:val="18"/>
          <w:szCs w:val="18"/>
        </w:rPr>
        <w:t xml:space="preserve">Self-Reported Bias: Stress level and academic pressure are likely self-reported, introducing subjectivity across respondents.</w:t>
      </w:r>
    </w:p>
    <w:p>
      <w:pPr>
        <w:pStyle w:val="ListParagraph"/>
        <w:numPr>
          <w:ilvl w:val="0"/>
          <w:numId w:val="2"/>
        </w:numPr>
        <w:spacing w:after="40" w:line="238"/>
      </w:pPr>
      <w:r>
        <w:rPr>
          <w:color w:val="262626"/>
          <w:sz w:val="18"/>
          <w:szCs w:val="18"/>
        </w:rPr>
        <w:t xml:space="preserve">No Temporal Dimension: A single snapshot rather than a longitudinal record, so it can’t capture how burnout evolves over a term.</w:t>
      </w:r>
    </w:p>
    <w:p>
      <w:pPr>
        <w:pStyle w:val="ListParagraph"/>
        <w:numPr>
          <w:ilvl w:val="0"/>
          <w:numId w:val="2"/>
        </w:numPr>
        <w:spacing w:after="40" w:line="238"/>
      </w:pPr>
      <w:r>
        <w:rPr>
          <w:color w:val="262626"/>
          <w:sz w:val="18"/>
          <w:szCs w:val="18"/>
        </w:rPr>
        <w:t xml:space="preserve">Limited Context: Financial background, family environment, and access to support are not captured, limiting explanatory depth.</w:t>
      </w:r>
    </w:p>
    <w:p>
      <w:pPr>
        <w:pStyle w:val="ListParagraph"/>
        <w:numPr>
          <w:ilvl w:val="0"/>
          <w:numId w:val="2"/>
        </w:numPr>
        <w:spacing w:after="40" w:line="238"/>
      </w:pPr>
      <w:r>
        <w:rPr>
          <w:color w:val="262626"/>
          <w:sz w:val="18"/>
          <w:szCs w:val="18"/>
        </w:rPr>
        <w:t xml:space="preserve">Potential Class Imbalance: Certain stress/burnout categories may be underrepresented, which was accounted for during interpretation.</w:t>
      </w:r>
    </w:p>
    <w:p>
      <w:pPr>
        <w:pStyle w:val="Heading1"/>
        <w:pBdr>
          <w:bottom w:val="single" w:color="2E75B6" w:sz="6" w:space="3"/>
        </w:pBdr>
      </w:pPr>
      <w:r>
        <w:t xml:space="preserve">4. Data Cleaning and Preprocessing</w:t>
      </w:r>
    </w:p>
    <w:p>
      <w:pPr>
        <w:spacing w:after="85" w:line="242"/>
      </w:pPr>
      <w:r>
        <w:rPr>
          <w:color w:val="262626"/>
          <w:sz w:val="18"/>
          <w:szCs w:val="18"/>
        </w:rPr>
        <w:t xml:space="preserve">Before analysis, the raw dataset went through a structured cleaning and validation pipeline using Pandas and NumPy. Given the dataset’s size (~150,000 rows), this stage was critical to ensure visualizations and insights weren’t distorted by missing values, duplicates, or inconsistent formatting.</w:t>
      </w:r>
    </w:p>
    <w:p>
      <w:pPr>
        <w:pStyle w:val="Heading2"/>
      </w:pPr>
      <w:r>
        <w:t xml:space="preserve">4.1 Missing Value Handling</w:t>
      </w:r>
    </w:p>
    <w:p>
      <w:pPr>
        <w:spacing w:after="85" w:line="242"/>
      </w:pPr>
      <w:r>
        <w:rPr>
          <w:color w:val="262626"/>
          <w:sz w:val="18"/>
          <w:szCs w:val="18"/>
        </w:rPr>
        <w:t xml:space="preserve">Missing values were quantified column-by-column with isnull().sum() and visualized via a Seaborn heatmap. Numeric columns with minor gaps (sleep hours, study hours) were imputed using the median, which is more robust to outliers than the mean; categorical fields (gender, extracurricular participation) were imputed using the mode or labeled “Not Specified” rather than dropped, to preserve sample size.</w:t>
      </w:r>
    </w:p>
    <w:p>
      <w:pPr>
        <w:pStyle w:val="Heading2"/>
      </w:pPr>
      <w:r>
        <w:t xml:space="preserve">4.2 Duplicate Removal</w:t>
      </w:r>
    </w:p>
    <w:p>
      <w:pPr>
        <w:spacing w:after="85" w:line="242"/>
      </w:pPr>
      <w:r>
        <w:rPr>
          <w:color w:val="262626"/>
          <w:sz w:val="18"/>
          <w:szCs w:val="18"/>
        </w:rPr>
        <w:t xml:space="preserve">Exact duplicate rows, checked using duplicated() on Student ID and key feature combinations, were removed using drop_duplicates(). At this scale, duplicates can artificially inflate certain patterns, so this step preserved the statistical integrity of every downstream distribution and correlation.</w:t>
      </w:r>
    </w:p>
    <w:p>
      <w:pPr>
        <w:pStyle w:val="Heading2"/>
      </w:pPr>
      <w:r>
        <w:t xml:space="preserve">4.3 Data Type Corrections</w:t>
      </w:r>
    </w:p>
    <w:p>
      <w:pPr>
        <w:spacing w:after="85" w:line="242"/>
      </w:pPr>
      <w:r>
        <w:rPr>
          <w:color w:val="262626"/>
          <w:sz w:val="18"/>
          <w:szCs w:val="18"/>
        </w:rPr>
        <w:t xml:space="preserve">Numeric columns occasionally contained string-formatted numbers due to inconsistent source formatting; these were converted with pd.to_numeric() and error coercion, with resulting nulls handled per the missing-value strategy above. Categorical columns such as gender and academic stream were cast to the category dtype to improve memory efficiency given the dataset’s size.</w:t>
      </w:r>
    </w:p>
    <w:p>
      <w:pPr>
        <w:pStyle w:val="Heading2"/>
      </w:pPr>
      <w:r>
        <w:t xml:space="preserve">4.4 Data Validation</w:t>
      </w:r>
    </w:p>
    <w:p>
      <w:pPr>
        <w:spacing w:after="85" w:line="242"/>
      </w:pPr>
      <w:r>
        <w:rPr>
          <w:color w:val="262626"/>
          <w:sz w:val="18"/>
          <w:szCs w:val="18"/>
        </w:rPr>
        <w:t xml:space="preserve">Logical checks confirmed values fell within realistic ranges — study and sleep hours within plausible daily limits, and stress/burnout scores within their expected scale. Records violating these constraints were corrected where the cause was identifiable (e.g., unit mismatches) or removed if they represented clear data entry errors.</w:t>
      </w:r>
    </w:p>
    <w:p>
      <w:pPr>
        <w:pStyle w:val="Heading2"/>
      </w:pPr>
      <w:r>
        <w:t xml:space="preserve">4.5 Data Quality Checks</w:t>
      </w:r>
    </w:p>
    <w:p>
      <w:pPr>
        <w:spacing w:after="85" w:line="242"/>
      </w:pPr>
      <w:r>
        <w:rPr>
          <w:color w:val="262626"/>
          <w:sz w:val="18"/>
          <w:szCs w:val="18"/>
        </w:rPr>
        <w:t xml:space="preserve">A final audit confirmed the dataset was analysis-ready: column names were standardized, the index was reset after row removal, and summary statistics (describe()) were compared before and after cleaning to confirm no unintended distortion. The cleaned dataset was exported as a checkpoint so all subsequent EDA operated on a single validated source of truth.</w:t>
      </w:r>
    </w:p>
    <w:p>
      <w:pPr>
        <w:pStyle w:val="Heading1"/>
        <w:pBdr>
          <w:bottom w:val="single" w:color="2E75B6" w:sz="6" w:space="3"/>
        </w:pBdr>
      </w:pPr>
      <w:r>
        <w:t xml:space="preserve">5. Exploratory Data Analysis</w:t>
      </w:r>
    </w:p>
    <w:p>
      <w:pPr>
        <w:spacing w:after="85" w:line="242"/>
      </w:pPr>
      <w:r>
        <w:rPr>
          <w:color w:val="262626"/>
          <w:sz w:val="18"/>
          <w:szCs w:val="18"/>
        </w:rPr>
        <w:t xml:space="preserve">With a clean, validated dataset in place, the analysis moved into univariate distributions, bivariate relationships, and a correlation study. Each subsection below covers what was examined, what pattern emerged, and why it matters for student well-being.</w:t>
      </w:r>
    </w:p>
    <w:p>
      <w:pPr>
        <w:pStyle w:val="Heading2"/>
      </w:pPr>
      <w:r>
        <w:t xml:space="preserve">5.1 Distribution of Stress Levels</w:t>
      </w:r>
    </w:p>
    <w:p>
      <w:pPr>
        <w:spacing w:after="85" w:line="242"/>
      </w:pPr>
      <w:r>
        <w:rPr>
          <w:color w:val="262626"/>
          <w:sz w:val="18"/>
          <w:szCs w:val="18"/>
        </w:rPr>
        <w:t xml:space="preserve">A histogram with KDE overlay was used to study the spread of stress scores across the population. The distribution was skewed toward the moderate-to-high range rather than centered on low stress, with a visible cluster of consistently high-stress students. This indicates elevated stress is a broad, systemic pattern — not an isolated minority experience — which justifies institution-wide wellness initiatives rather than narrowly targeted ones.</w:t>
      </w:r>
    </w:p>
    <w:p>
      <w:pPr>
        <w:pStyle w:val="Heading2"/>
      </w:pPr>
      <w:r>
        <w:t xml:space="preserve">5.2 Distribution of Burnout Scores</w:t>
      </w:r>
    </w:p>
    <w:p>
      <w:pPr>
        <w:spacing w:after="85" w:line="242"/>
      </w:pPr>
      <w:r>
        <w:rPr>
          <w:color w:val="262626"/>
          <w:sz w:val="18"/>
          <w:szCs w:val="18"/>
        </w:rPr>
        <w:t xml:space="preserve">Burnout scores were analyzed using histograms, boxplots, and percentile breakdowns. The spread was wider than stress levels, with a clear long tail of students in severe burnout territory, confirmed by upper-range outliers in the boxplot. This distinct high-burnout subgroup, separate from the general population, represents a smaller set of students whose early identification would have a disproportionately high protective impact.</w:t>
      </w:r>
    </w:p>
    <w:p>
      <w:pPr>
        <w:pStyle w:val="Heading2"/>
      </w:pPr>
      <w:r>
        <w:t xml:space="preserve">5.3 Academic Pressure Analysis</w:t>
      </w:r>
    </w:p>
    <w:p>
      <w:pPr>
        <w:spacing w:after="85" w:line="242"/>
      </w:pPr>
      <w:r>
        <w:rPr>
          <w:color w:val="262626"/>
          <w:sz w:val="18"/>
          <w:szCs w:val="18"/>
        </w:rPr>
        <w:t xml:space="preserve">Academic pressure scores were plotted against burnout scores using scatter plots and grouped bar charts. A clear upward trend emerged — average burnout rose consistently across nearly all pressure bands — though the relationship was not perfectly linear, since a small group of high-pressure students still reported comparatively low burnout. This confirms pressure as a major driver while suggesting that supporting factors like sleep and time management likely moderate the outcome.</w:t>
      </w:r>
    </w:p>
    <w:p>
      <w:pPr>
        <w:pStyle w:val="Heading2"/>
      </w:pPr>
      <w:r>
        <w:t xml:space="preserve">5.4 Study Hours Analysis</w:t>
      </w:r>
    </w:p>
    <w:p>
      <w:pPr>
        <w:spacing w:after="85" w:line="242"/>
      </w:pPr>
      <w:r>
        <w:rPr>
          <w:color w:val="262626"/>
          <w:sz w:val="18"/>
          <w:szCs w:val="18"/>
        </w:rPr>
        <w:t xml:space="preserve">Study hours were segmented into bands (under 4, 4–6, 6–8, 8+ hours) and compared against average stress and burnout within each band. Burnout stayed relatively stable at moderate study hours but rose sharply in the highest band, pointing to a tipping point beyond which more study time correlates with worse, not better, well-being. This challenges the assumption that more hours are always beneficial and supports promoting study efficiency over raw hours logged.</w:t>
      </w:r>
    </w:p>
    <w:p>
      <w:pPr>
        <w:pStyle w:val="Heading2"/>
      </w:pPr>
      <w:r>
        <w:t xml:space="preserve">5.5 Sleep Hours Analysis</w:t>
      </w:r>
    </w:p>
    <w:p>
      <w:pPr>
        <w:spacing w:after="85" w:line="242"/>
      </w:pPr>
      <w:r>
        <w:rPr>
          <w:color w:val="262626"/>
          <w:sz w:val="18"/>
          <w:szCs w:val="18"/>
        </w:rPr>
        <w:t xml:space="preserve">Sleep duration was analyzed against stress level using correlation analysis and segmented comparison (under 6 hours vs. 6–8 hours vs. 8+ hours). A clear inverse relationship emerged: students sleeping fewer than 6 hours showed meaningfully higher average stress than those sleeping 7–8 hours, making sleep one of the strongest behavioral predictors in the dataset. Because sleep is a modifiable daily behavior, this is one of the most actionable findings in the entire analysis.</w:t>
      </w:r>
    </w:p>
    <w:p>
      <w:pPr>
        <w:pStyle w:val="Heading2"/>
      </w:pPr>
      <w:r>
        <w:t xml:space="preserve">5.6 Gender Comparison</w:t>
      </w:r>
    </w:p>
    <w:p>
      <w:pPr>
        <w:spacing w:after="85" w:line="242"/>
      </w:pPr>
      <w:r>
        <w:rPr>
          <w:color w:val="262626"/>
          <w:sz w:val="18"/>
          <w:szCs w:val="18"/>
        </w:rPr>
        <w:t xml:space="preserve">Stress and burnout scores were compared across gender groups using grouped boxplots and mean comparisons. Overall stress distributions were broadly similar, though one group showed wider burnout variability with more high-burnout outliers. This suggests burnout is a near-universal concern rather than one limited to a single group, so wellness programs should remain inclusive and broadly accessible.</w:t>
      </w:r>
    </w:p>
    <w:p>
      <w:pPr>
        <w:pStyle w:val="Heading2"/>
      </w:pPr>
      <w:r>
        <w:t xml:space="preserve">5.7 Correlation Analysis</w:t>
      </w:r>
    </w:p>
    <w:p>
      <w:pPr>
        <w:spacing w:after="85" w:line="242"/>
      </w:pPr>
      <w:r>
        <w:rPr>
          <w:color w:val="262626"/>
          <w:sz w:val="18"/>
          <w:szCs w:val="18"/>
        </w:rPr>
        <w:t xml:space="preserve">A full correlation matrix across all numerical variables was visualized using a Seaborn heatmap. Academic pressure and burnout score showed the strongest positive correlation, followed by a moderate positive link between study hours and stress level; sleep hours showed a moderate negative correlation with both stress and burnout. CGPA correlated only weakly with burnout, confirming that academic performance alone is not a reliable proxy for well-being. This prioritization — pressure and sleep as the highest-leverage variables — is directly useful for designing future interventions or predictive models.</w:t>
      </w:r>
    </w:p>
    <w:p>
      <w:pPr>
        <w:pStyle w:val="Heading1"/>
        <w:pBdr>
          <w:bottom w:val="single" w:color="2E75B6" w:sz="6" w:space="3"/>
        </w:pBdr>
      </w:pPr>
      <w:r>
        <w:t xml:space="preserve">6. Key Insights</w:t>
      </w:r>
    </w:p>
    <w:p>
      <w:pPr>
        <w:spacing w:after="85" w:line="242"/>
      </w:pPr>
      <w:r>
        <w:rPr>
          <w:color w:val="262626"/>
          <w:sz w:val="18"/>
          <w:szCs w:val="18"/>
        </w:rPr>
        <w:t xml:space="preserve">The following insights synthesize the patterns identified across the EDA phase into clear, business-relevant takeaways. Each insight is framed around what was observed, why it happens, and what it means in practical terms.</w:t>
      </w:r>
    </w:p>
    <w:p>
      <w:pPr>
        <w:spacing w:after="40" w:before="120"/>
      </w:pPr>
      <w:r>
        <w:rPr>
          <w:b/>
          <w:bCs/>
          <w:color w:val="1F3864"/>
          <w:sz w:val="19"/>
          <w:szCs w:val="19"/>
        </w:rPr>
        <w:t xml:space="preserve">Insight 1: Academic Pressure Is the Strongest Single Driver of Burnout</w:t>
      </w:r>
    </w:p>
    <w:p>
      <w:pPr>
        <w:spacing w:after="30" w:line="248"/>
      </w:pPr>
      <w:r>
        <w:rPr>
          <w:b/>
          <w:bCs/>
          <w:color w:val="2E75B6"/>
          <w:sz w:val="18"/>
          <w:szCs w:val="18"/>
        </w:rPr>
        <w:t xml:space="preserve">Observation: </w:t>
      </w:r>
      <w:r>
        <w:rPr>
          <w:color w:val="262626"/>
          <w:sz w:val="18"/>
          <w:szCs w:val="18"/>
        </w:rPr>
        <w:t xml:space="preserve">Academic pressure shows the highest correlation with burnout score among all variables studied, with burnout rising consistently as pressure increases.</w:t>
      </w:r>
    </w:p>
    <w:p>
      <w:pPr>
        <w:spacing w:after="30" w:line="248"/>
      </w:pPr>
      <w:r>
        <w:rPr>
          <w:b/>
          <w:bCs/>
          <w:color w:val="2E75B6"/>
          <w:sz w:val="18"/>
          <w:szCs w:val="18"/>
        </w:rPr>
        <w:t xml:space="preserve">Explanation: </w:t>
      </w:r>
      <w:r>
        <w:rPr>
          <w:color w:val="262626"/>
          <w:sz w:val="18"/>
          <w:szCs w:val="18"/>
        </w:rPr>
        <w:t xml:space="preserve">Sustained academic demands, especially without adequate recovery time, compound over weeks and months, pushing students from manageable stress into chronic burnout.</w:t>
      </w:r>
    </w:p>
    <w:p>
      <w:pPr>
        <w:spacing w:after="90" w:line="248"/>
      </w:pPr>
      <w:r>
        <w:rPr>
          <w:b/>
          <w:bCs/>
          <w:color w:val="2E75B6"/>
          <w:sz w:val="18"/>
          <w:szCs w:val="18"/>
        </w:rPr>
        <w:t xml:space="preserve">Impact: </w:t>
      </w:r>
      <w:r>
        <w:rPr>
          <w:color w:val="262626"/>
          <w:sz w:val="18"/>
          <w:szCs w:val="18"/>
        </w:rPr>
        <w:t xml:space="preserve">Institutions that fail to monitor academic load risk a steadily rising burnout population, with downstream effects on grades, attendance, and retention.</w:t>
      </w:r>
    </w:p>
    <w:p>
      <w:pPr>
        <w:spacing w:after="40" w:before="120"/>
      </w:pPr>
      <w:r>
        <w:rPr>
          <w:b/>
          <w:bCs/>
          <w:color w:val="1F3864"/>
          <w:sz w:val="19"/>
          <w:szCs w:val="19"/>
        </w:rPr>
        <w:t xml:space="preserve">Insight 2: Sleep Deprivation Is a Leading, Highly Actionable Risk Factor</w:t>
      </w:r>
    </w:p>
    <w:p>
      <w:pPr>
        <w:spacing w:after="30" w:line="248"/>
      </w:pPr>
      <w:r>
        <w:rPr>
          <w:b/>
          <w:bCs/>
          <w:color w:val="2E75B6"/>
          <w:sz w:val="18"/>
          <w:szCs w:val="18"/>
        </w:rPr>
        <w:t xml:space="preserve">Observation: </w:t>
      </w:r>
      <w:r>
        <w:rPr>
          <w:color w:val="262626"/>
          <w:sz w:val="18"/>
          <w:szCs w:val="18"/>
        </w:rPr>
        <w:t xml:space="preserve">Students sleeping fewer than 6 hours per night report meaningfully higher stress levels than those sleeping 7–8 hours.</w:t>
      </w:r>
    </w:p>
    <w:p>
      <w:pPr>
        <w:spacing w:after="30" w:line="248"/>
      </w:pPr>
      <w:r>
        <w:rPr>
          <w:b/>
          <w:bCs/>
          <w:color w:val="2E75B6"/>
          <w:sz w:val="18"/>
          <w:szCs w:val="18"/>
        </w:rPr>
        <w:t xml:space="preserve">Explanation: </w:t>
      </w:r>
      <w:r>
        <w:rPr>
          <w:color w:val="262626"/>
          <w:sz w:val="18"/>
          <w:szCs w:val="18"/>
        </w:rPr>
        <w:t xml:space="preserve">Sleep directly affects emotional regulation and cognitive resilience, meaning chronic sleep deprivation lowers a student’s capacity to absorb academic pressure without becoming overwhelmed.</w:t>
      </w:r>
    </w:p>
    <w:p>
      <w:pPr>
        <w:spacing w:after="90" w:line="248"/>
      </w:pPr>
      <w:r>
        <w:rPr>
          <w:b/>
          <w:bCs/>
          <w:color w:val="2E75B6"/>
          <w:sz w:val="18"/>
          <w:szCs w:val="18"/>
        </w:rPr>
        <w:t xml:space="preserve">Impact: </w:t>
      </w:r>
      <w:r>
        <w:rPr>
          <w:color w:val="262626"/>
          <w:sz w:val="18"/>
          <w:szCs w:val="18"/>
        </w:rPr>
        <w:t xml:space="preserve">Because sleep is a daily, modifiable behavior, sleep-focused interventions can deliver fast, measurable improvements in student stress levels at low institutional cost.</w:t>
      </w:r>
    </w:p>
    <w:p>
      <w:pPr>
        <w:spacing w:after="40" w:before="120"/>
      </w:pPr>
      <w:r>
        <w:rPr>
          <w:b/>
          <w:bCs/>
          <w:color w:val="1F3864"/>
          <w:sz w:val="19"/>
          <w:szCs w:val="19"/>
        </w:rPr>
        <w:t xml:space="preserve">Insight 3: More Study Hours Does Not Mean Better Outcomes</w:t>
      </w:r>
    </w:p>
    <w:p>
      <w:pPr>
        <w:spacing w:after="30" w:line="248"/>
      </w:pPr>
      <w:r>
        <w:rPr>
          <w:b/>
          <w:bCs/>
          <w:color w:val="2E75B6"/>
          <w:sz w:val="18"/>
          <w:szCs w:val="18"/>
        </w:rPr>
        <w:t xml:space="preserve">Observation: </w:t>
      </w:r>
      <w:r>
        <w:rPr>
          <w:color w:val="262626"/>
          <w:sz w:val="18"/>
          <w:szCs w:val="18"/>
        </w:rPr>
        <w:t xml:space="preserve">Burnout rises sharply once study hours cross into the highest band, while moderate, consistent study hours are associated with comparatively healthier stress profiles.</w:t>
      </w:r>
    </w:p>
    <w:p>
      <w:pPr>
        <w:spacing w:after="30" w:line="248"/>
      </w:pPr>
      <w:r>
        <w:rPr>
          <w:b/>
          <w:bCs/>
          <w:color w:val="2E75B6"/>
          <w:sz w:val="18"/>
          <w:szCs w:val="18"/>
        </w:rPr>
        <w:t xml:space="preserve">Explanation: </w:t>
      </w:r>
      <w:r>
        <w:rPr>
          <w:color w:val="262626"/>
          <w:sz w:val="18"/>
          <w:szCs w:val="18"/>
        </w:rPr>
        <w:t xml:space="preserve">Beyond a certain point, additional study time reflects inefficiency, anxiety-driven overwork, or poor time management rather than genuine productivity gains.</w:t>
      </w:r>
    </w:p>
    <w:p>
      <w:pPr>
        <w:spacing w:after="90" w:line="248"/>
      </w:pPr>
      <w:r>
        <w:rPr>
          <w:b/>
          <w:bCs/>
          <w:color w:val="2E75B6"/>
          <w:sz w:val="18"/>
          <w:szCs w:val="18"/>
        </w:rPr>
        <w:t xml:space="preserve">Impact: </w:t>
      </w:r>
      <w:r>
        <w:rPr>
          <w:color w:val="262626"/>
          <w:sz w:val="18"/>
          <w:szCs w:val="18"/>
        </w:rPr>
        <w:t xml:space="preserve">Promoting study efficiency and structured time management could reduce burnout without compromising academic performance.</w:t>
      </w:r>
    </w:p>
    <w:p>
      <w:pPr>
        <w:spacing w:after="40" w:before="120"/>
      </w:pPr>
      <w:r>
        <w:rPr>
          <w:b/>
          <w:bCs/>
          <w:color w:val="1F3864"/>
          <w:sz w:val="19"/>
          <w:szCs w:val="19"/>
        </w:rPr>
        <w:t xml:space="preserve">Insight 4: A Distinct High-Burnout Subgroup Exists Within the Population</w:t>
      </w:r>
    </w:p>
    <w:p>
      <w:pPr>
        <w:spacing w:after="30" w:line="248"/>
      </w:pPr>
      <w:r>
        <w:rPr>
          <w:b/>
          <w:bCs/>
          <w:color w:val="2E75B6"/>
          <w:sz w:val="18"/>
          <w:szCs w:val="18"/>
        </w:rPr>
        <w:t xml:space="preserve">Observation: </w:t>
      </w:r>
      <w:r>
        <w:rPr>
          <w:color w:val="262626"/>
          <w:sz w:val="18"/>
          <w:szCs w:val="18"/>
        </w:rPr>
        <w:t xml:space="preserve">Boxplot and outlier analysis reveal a clear subgroup of students with burnout scores well above the general population, separate from the main distribution.</w:t>
      </w:r>
    </w:p>
    <w:p>
      <w:pPr>
        <w:spacing w:after="30" w:line="248"/>
      </w:pPr>
      <w:r>
        <w:rPr>
          <w:b/>
          <w:bCs/>
          <w:color w:val="2E75B6"/>
          <w:sz w:val="18"/>
          <w:szCs w:val="18"/>
        </w:rPr>
        <w:t xml:space="preserve">Explanation: </w:t>
      </w:r>
      <w:r>
        <w:rPr>
          <w:color w:val="262626"/>
          <w:sz w:val="18"/>
          <w:szCs w:val="18"/>
        </w:rPr>
        <w:t xml:space="preserve">This subgroup likely represents students facing compounding stressors — high pressure, poor sleep, and excessive study hours occurring simultaneously rather than in isolation.</w:t>
      </w:r>
    </w:p>
    <w:p>
      <w:pPr>
        <w:spacing w:after="90" w:line="248"/>
      </w:pPr>
      <w:r>
        <w:rPr>
          <w:b/>
          <w:bCs/>
          <w:color w:val="2E75B6"/>
          <w:sz w:val="18"/>
          <w:szCs w:val="18"/>
        </w:rPr>
        <w:t xml:space="preserve">Impact: </w:t>
      </w:r>
      <w:r>
        <w:rPr>
          <w:color w:val="262626"/>
          <w:sz w:val="18"/>
          <w:szCs w:val="18"/>
        </w:rPr>
        <w:t xml:space="preserve">Early identification of this high-risk subgroup allows counseling resources to be targeted where they will have the greatest protective impact.</w:t>
      </w:r>
    </w:p>
    <w:p>
      <w:pPr>
        <w:spacing w:after="40" w:before="120"/>
      </w:pPr>
      <w:r>
        <w:rPr>
          <w:b/>
          <w:bCs/>
          <w:color w:val="1F3864"/>
          <w:sz w:val="19"/>
          <w:szCs w:val="19"/>
        </w:rPr>
        <w:t xml:space="preserve">Insight 5: Academic Performance Alone Is a Poor Indicator of Well-Being</w:t>
      </w:r>
    </w:p>
    <w:p>
      <w:pPr>
        <w:spacing w:after="30" w:line="248"/>
      </w:pPr>
      <w:r>
        <w:rPr>
          <w:b/>
          <w:bCs/>
          <w:color w:val="2E75B6"/>
          <w:sz w:val="18"/>
          <w:szCs w:val="18"/>
        </w:rPr>
        <w:t xml:space="preserve">Observation: </w:t>
      </w:r>
      <w:r>
        <w:rPr>
          <w:color w:val="262626"/>
          <w:sz w:val="18"/>
          <w:szCs w:val="18"/>
        </w:rPr>
        <w:t xml:space="preserve">CGPA and other performance metrics show only a weak correlation with burnout score, meaning high-performing students are not necessarily low-stress students.</w:t>
      </w:r>
    </w:p>
    <w:p>
      <w:pPr>
        <w:spacing w:after="30" w:line="248"/>
      </w:pPr>
      <w:r>
        <w:rPr>
          <w:b/>
          <w:bCs/>
          <w:color w:val="2E75B6"/>
          <w:sz w:val="18"/>
          <w:szCs w:val="18"/>
        </w:rPr>
        <w:t xml:space="preserve">Explanation: </w:t>
      </w:r>
      <w:r>
        <w:rPr>
          <w:color w:val="262626"/>
          <w:sz w:val="18"/>
          <w:szCs w:val="18"/>
        </w:rPr>
        <w:t xml:space="preserve">Many high-achieving students sustain performance through unsustainable effort, masking underlying stress that traditional academic monitoring would miss entirely.</w:t>
      </w:r>
    </w:p>
    <w:p>
      <w:pPr>
        <w:spacing w:after="90" w:line="248"/>
      </w:pPr>
      <w:r>
        <w:rPr>
          <w:b/>
          <w:bCs/>
          <w:color w:val="2E75B6"/>
          <w:sz w:val="18"/>
          <w:szCs w:val="18"/>
        </w:rPr>
        <w:t xml:space="preserve">Impact: </w:t>
      </w:r>
      <w:r>
        <w:rPr>
          <w:color w:val="262626"/>
          <w:sz w:val="18"/>
          <w:szCs w:val="18"/>
        </w:rPr>
        <w:t xml:space="preserve">Institutions relying solely on grades to flag at-risk students will systematically miss a significant share of struggling high-performers.</w:t>
      </w:r>
    </w:p>
    <w:p>
      <w:pPr>
        <w:spacing w:after="40" w:before="120"/>
      </w:pPr>
      <w:r>
        <w:rPr>
          <w:b/>
          <w:bCs/>
          <w:color w:val="1F3864"/>
          <w:sz w:val="19"/>
          <w:szCs w:val="19"/>
        </w:rPr>
        <w:t xml:space="preserve">Insight 6: Burnout Patterns Are Broadly Consistent Across Gender</w:t>
      </w:r>
    </w:p>
    <w:p>
      <w:pPr>
        <w:spacing w:after="30" w:line="248"/>
      </w:pPr>
      <w:r>
        <w:rPr>
          <w:b/>
          <w:bCs/>
          <w:color w:val="2E75B6"/>
          <w:sz w:val="18"/>
          <w:szCs w:val="18"/>
        </w:rPr>
        <w:t xml:space="preserve">Observation: </w:t>
      </w:r>
      <w:r>
        <w:rPr>
          <w:color w:val="262626"/>
          <w:sz w:val="18"/>
          <w:szCs w:val="18"/>
        </w:rPr>
        <w:t xml:space="preserve">Average stress and burnout levels are similar across gender groups, though variability and outlier frequency differ somewhat between groups.</w:t>
      </w:r>
    </w:p>
    <w:p>
      <w:pPr>
        <w:spacing w:after="30" w:line="248"/>
      </w:pPr>
      <w:r>
        <w:rPr>
          <w:b/>
          <w:bCs/>
          <w:color w:val="2E75B6"/>
          <w:sz w:val="18"/>
          <w:szCs w:val="18"/>
        </w:rPr>
        <w:t xml:space="preserve">Explanation: </w:t>
      </w:r>
      <w:r>
        <w:rPr>
          <w:color w:val="262626"/>
          <w:sz w:val="18"/>
          <w:szCs w:val="18"/>
        </w:rPr>
        <w:t xml:space="preserve">This suggests burnout is driven primarily by shared structural factors — workload, sleep, and pressure — rather than being concentrated in any single demographic.</w:t>
      </w:r>
    </w:p>
    <w:p>
      <w:pPr>
        <w:spacing w:after="90" w:line="248"/>
      </w:pPr>
      <w:r>
        <w:rPr>
          <w:b/>
          <w:bCs/>
          <w:color w:val="2E75B6"/>
          <w:sz w:val="18"/>
          <w:szCs w:val="18"/>
        </w:rPr>
        <w:t xml:space="preserve">Impact: </w:t>
      </w:r>
      <w:r>
        <w:rPr>
          <w:color w:val="262626"/>
          <w:sz w:val="18"/>
          <w:szCs w:val="18"/>
        </w:rPr>
        <w:t xml:space="preserve">Wellness programs should be designed for broad accessibility rather than narrowly targeted at a single group, while still monitoring subgroup variability.</w:t>
      </w:r>
    </w:p>
    <w:p>
      <w:pPr>
        <w:pStyle w:val="Heading1"/>
        <w:pBdr>
          <w:bottom w:val="single" w:color="2E75B6" w:sz="6" w:space="3"/>
        </w:pBdr>
      </w:pPr>
      <w:r>
        <w:t xml:space="preserve">7. Recommendations</w:t>
      </w:r>
    </w:p>
    <w:p>
      <w:pPr>
        <w:spacing w:after="85" w:line="242"/>
      </w:pPr>
      <w:r>
        <w:rPr>
          <w:color w:val="262626"/>
          <w:sz w:val="18"/>
          <w:szCs w:val="18"/>
        </w:rPr>
        <w:t xml:space="preserve">Based on the insights above, the following recommendations are proposed as practical, implementable actions for educational institutions, counseling departments, and ed-tech platforms looking to reduce student burnout.</w:t>
      </w:r>
    </w:p>
    <w:p>
      <w:pPr>
        <w:spacing w:after="40" w:before="120"/>
      </w:pPr>
      <w:r>
        <w:rPr>
          <w:b/>
          <w:bCs/>
          <w:color w:val="1F3864"/>
          <w:sz w:val="19"/>
          <w:szCs w:val="19"/>
        </w:rPr>
        <w:t xml:space="preserve">1. Structured Student Wellness Programs</w:t>
      </w:r>
    </w:p>
    <w:p>
      <w:pPr>
        <w:spacing w:after="30" w:line="248"/>
      </w:pPr>
      <w:r>
        <w:rPr>
          <w:color w:val="262626"/>
          <w:sz w:val="18"/>
          <w:szCs w:val="18"/>
        </w:rPr>
        <w:t xml:space="preserve">Institutions should establish ongoing wellness programs that go beyond one-off awareness events, including regular check-ins, peer-support groups, and accessible self-assessment tools.</w:t>
      </w:r>
    </w:p>
    <w:p>
      <w:pPr>
        <w:spacing w:after="30" w:line="248"/>
      </w:pPr>
      <w:r>
        <w:rPr>
          <w:b/>
          <w:bCs/>
          <w:color w:val="2E75B6"/>
          <w:sz w:val="18"/>
          <w:szCs w:val="18"/>
        </w:rPr>
        <w:t xml:space="preserve">Why Needed: </w:t>
      </w:r>
      <w:r>
        <w:rPr>
          <w:color w:val="262626"/>
          <w:sz w:val="18"/>
          <w:szCs w:val="18"/>
        </w:rPr>
        <w:t xml:space="preserve">The data shows elevated stress is widespread across the student population, not isolated to a few cases, so a standing program is needed rather than reactive, one-time efforts.</w:t>
      </w:r>
    </w:p>
    <w:p>
      <w:pPr>
        <w:spacing w:after="90" w:line="248"/>
      </w:pPr>
      <w:r>
        <w:rPr>
          <w:b/>
          <w:bCs/>
          <w:color w:val="2E75B6"/>
          <w:sz w:val="18"/>
          <w:szCs w:val="18"/>
        </w:rPr>
        <w:t xml:space="preserve">Expected Benefit: </w:t>
      </w:r>
      <w:r>
        <w:rPr>
          <w:color w:val="262626"/>
          <w:sz w:val="18"/>
          <w:szCs w:val="18"/>
        </w:rPr>
        <w:t xml:space="preserve">Consistent, normalized access to wellness resources reduces stigma and increases the likelihood that students seek help before reaching crisis-level burnout.</w:t>
      </w:r>
    </w:p>
    <w:p>
      <w:pPr>
        <w:spacing w:after="40" w:before="120"/>
      </w:pPr>
      <w:r>
        <w:rPr>
          <w:b/>
          <w:bCs/>
          <w:color w:val="1F3864"/>
          <w:sz w:val="19"/>
          <w:szCs w:val="19"/>
        </w:rPr>
        <w:t xml:space="preserve">2. Proactive Counseling Support for High-Risk Segments</w:t>
      </w:r>
    </w:p>
    <w:p>
      <w:pPr>
        <w:spacing w:after="30" w:line="248"/>
      </w:pPr>
      <w:r>
        <w:rPr>
          <w:color w:val="262626"/>
          <w:sz w:val="18"/>
          <w:szCs w:val="18"/>
        </w:rPr>
        <w:t xml:space="preserve">Counseling teams should use a composite risk indicator (combining academic pressure, sleep hours, and study hours) to proactively reach out to high-risk students rather than waiting for self-referral.</w:t>
      </w:r>
    </w:p>
    <w:p>
      <w:pPr>
        <w:spacing w:after="30" w:line="248"/>
      </w:pPr>
      <w:r>
        <w:rPr>
          <w:b/>
          <w:bCs/>
          <w:color w:val="2E75B6"/>
          <w:sz w:val="18"/>
          <w:szCs w:val="18"/>
        </w:rPr>
        <w:t xml:space="preserve">Why Needed: </w:t>
      </w:r>
      <w:r>
        <w:rPr>
          <w:color w:val="262626"/>
          <w:sz w:val="18"/>
          <w:szCs w:val="18"/>
        </w:rPr>
        <w:t xml:space="preserve">The analysis identified a distinct high-burnout subgroup with compounding risk factors that traditional grade-based monitoring would not catch.</w:t>
      </w:r>
    </w:p>
    <w:p>
      <w:pPr>
        <w:spacing w:after="90" w:line="248"/>
      </w:pPr>
      <w:r>
        <w:rPr>
          <w:b/>
          <w:bCs/>
          <w:color w:val="2E75B6"/>
          <w:sz w:val="18"/>
          <w:szCs w:val="18"/>
        </w:rPr>
        <w:t xml:space="preserve">Expected Benefit: </w:t>
      </w:r>
      <w:r>
        <w:rPr>
          <w:color w:val="262626"/>
          <w:sz w:val="18"/>
          <w:szCs w:val="18"/>
        </w:rPr>
        <w:t xml:space="preserve">Early, proactive outreach is significantly more effective and lower-cost than crisis intervention after burnout has already affected academic performance.</w:t>
      </w:r>
    </w:p>
    <w:p>
      <w:pPr>
        <w:spacing w:after="40" w:before="120"/>
      </w:pPr>
      <w:r>
        <w:rPr>
          <w:b/>
          <w:bCs/>
          <w:color w:val="1F3864"/>
          <w:sz w:val="19"/>
          <w:szCs w:val="19"/>
        </w:rPr>
        <w:t xml:space="preserve">3. Smarter Study Scheduling Guidance</w:t>
      </w:r>
    </w:p>
    <w:p>
      <w:pPr>
        <w:spacing w:after="30" w:line="248"/>
      </w:pPr>
      <w:r>
        <w:rPr>
          <w:color w:val="262626"/>
          <w:sz w:val="18"/>
          <w:szCs w:val="18"/>
        </w:rPr>
        <w:t xml:space="preserve">Academic advisors should help students build structured, realistic study schedules that emphasize consistency and efficiency over raw hours logged.</w:t>
      </w:r>
    </w:p>
    <w:p>
      <w:pPr>
        <w:spacing w:after="30" w:line="248"/>
      </w:pPr>
      <w:r>
        <w:rPr>
          <w:b/>
          <w:bCs/>
          <w:color w:val="2E75B6"/>
          <w:sz w:val="18"/>
          <w:szCs w:val="18"/>
        </w:rPr>
        <w:t xml:space="preserve">Why Needed: </w:t>
      </w:r>
      <w:r>
        <w:rPr>
          <w:color w:val="262626"/>
          <w:sz w:val="18"/>
          <w:szCs w:val="18"/>
        </w:rPr>
        <w:t xml:space="preserve">The data shows burnout rises sharply at the highest study-hour band, indicating that excessive hours often reflect inefficiency or anxiety rather than productive learning.</w:t>
      </w:r>
    </w:p>
    <w:p>
      <w:pPr>
        <w:spacing w:after="90" w:line="248"/>
      </w:pPr>
      <w:r>
        <w:rPr>
          <w:b/>
          <w:bCs/>
          <w:color w:val="2E75B6"/>
          <w:sz w:val="18"/>
          <w:szCs w:val="18"/>
        </w:rPr>
        <w:t xml:space="preserve">Expected Benefit: </w:t>
      </w:r>
      <w:r>
        <w:rPr>
          <w:color w:val="262626"/>
          <w:sz w:val="18"/>
          <w:szCs w:val="18"/>
        </w:rPr>
        <w:t xml:space="preserve">Better scheduling can maintain or improve academic outcomes while measurably reducing burnout risk among heavy-hours students.</w:t>
      </w:r>
    </w:p>
    <w:p>
      <w:pPr>
        <w:spacing w:after="40" w:before="120"/>
      </w:pPr>
      <w:r>
        <w:rPr>
          <w:b/>
          <w:bCs/>
          <w:color w:val="1F3864"/>
          <w:sz w:val="19"/>
          <w:szCs w:val="19"/>
        </w:rPr>
        <w:t xml:space="preserve">4. Institution-Wide Stress Management Initiatives</w:t>
      </w:r>
    </w:p>
    <w:p>
      <w:pPr>
        <w:spacing w:after="30" w:line="248"/>
      </w:pPr>
      <w:r>
        <w:rPr>
          <w:color w:val="262626"/>
          <w:sz w:val="18"/>
          <w:szCs w:val="18"/>
        </w:rPr>
        <w:t xml:space="preserve">Embedding stress-management practices — such as workshops on time management, mindfulness sessions, or short in-curriculum breaks — directly into the academic calendar rather than treating them as optional extras.</w:t>
      </w:r>
    </w:p>
    <w:p>
      <w:pPr>
        <w:spacing w:after="30" w:line="248"/>
      </w:pPr>
      <w:r>
        <w:rPr>
          <w:b/>
          <w:bCs/>
          <w:color w:val="2E75B6"/>
          <w:sz w:val="18"/>
          <w:szCs w:val="18"/>
        </w:rPr>
        <w:t xml:space="preserve">Why Needed: </w:t>
      </w:r>
      <w:r>
        <w:rPr>
          <w:color w:val="262626"/>
          <w:sz w:val="18"/>
          <w:szCs w:val="18"/>
        </w:rPr>
        <w:t xml:space="preserve">Because elevated stress was found across the broad population rather than a narrow segment, population-level initiatives will have a wider and more equitable impact.</w:t>
      </w:r>
    </w:p>
    <w:p>
      <w:pPr>
        <w:spacing w:after="90" w:line="248"/>
      </w:pPr>
      <w:r>
        <w:rPr>
          <w:b/>
          <w:bCs/>
          <w:color w:val="2E75B6"/>
          <w:sz w:val="18"/>
          <w:szCs w:val="18"/>
        </w:rPr>
        <w:t xml:space="preserve">Expected Benefit: </w:t>
      </w:r>
      <w:r>
        <w:rPr>
          <w:color w:val="262626"/>
          <w:sz w:val="18"/>
          <w:szCs w:val="18"/>
        </w:rPr>
        <w:t xml:space="preserve">Normalizing stress-management practices within the curriculum builds long-term coping skills that benefit students beyond their academic years.</w:t>
      </w:r>
    </w:p>
    <w:p>
      <w:pPr>
        <w:spacing w:after="40" w:before="120"/>
      </w:pPr>
      <w:r>
        <w:rPr>
          <w:b/>
          <w:bCs/>
          <w:color w:val="1F3864"/>
          <w:sz w:val="19"/>
          <w:szCs w:val="19"/>
        </w:rPr>
        <w:t xml:space="preserve">5. Sleep Awareness Campaigns</w:t>
      </w:r>
    </w:p>
    <w:p>
      <w:pPr>
        <w:spacing w:after="30" w:line="248"/>
      </w:pPr>
      <w:r>
        <w:rPr>
          <w:color w:val="262626"/>
          <w:sz w:val="18"/>
          <w:szCs w:val="18"/>
        </w:rPr>
        <w:t xml:space="preserve">Targeted campaigns and policy adjustments (such as avoiding late-night assignment deadlines or early-morning mandatory sessions) to encourage healthier sleep habits among students.</w:t>
      </w:r>
    </w:p>
    <w:p>
      <w:pPr>
        <w:spacing w:after="30" w:line="248"/>
      </w:pPr>
      <w:r>
        <w:rPr>
          <w:b/>
          <w:bCs/>
          <w:color w:val="2E75B6"/>
          <w:sz w:val="18"/>
          <w:szCs w:val="18"/>
        </w:rPr>
        <w:t xml:space="preserve">Why Needed: </w:t>
      </w:r>
      <w:r>
        <w:rPr>
          <w:color w:val="262626"/>
          <w:sz w:val="18"/>
          <w:szCs w:val="18"/>
        </w:rPr>
        <w:t xml:space="preserve">Sleep hours showed one of the strongest and most actionable correlations with stress level in the entire analysis.</w:t>
      </w:r>
    </w:p>
    <w:p>
      <w:pPr>
        <w:spacing w:after="90" w:line="248"/>
      </w:pPr>
      <w:r>
        <w:rPr>
          <w:b/>
          <w:bCs/>
          <w:color w:val="2E75B6"/>
          <w:sz w:val="18"/>
          <w:szCs w:val="18"/>
        </w:rPr>
        <w:t xml:space="preserve">Expected Benefit: </w:t>
      </w:r>
      <w:r>
        <w:rPr>
          <w:color w:val="262626"/>
          <w:sz w:val="18"/>
          <w:szCs w:val="18"/>
        </w:rPr>
        <w:t xml:space="preserve">As a low-cost, high-leverage intervention, improved sleep habits can meaningfully reduce stress levels campus-wide within a single academic term.</w:t>
      </w:r>
    </w:p>
    <w:p>
      <w:pPr>
        <w:pStyle w:val="Heading1"/>
        <w:pBdr>
          <w:bottom w:val="single" w:color="2E75B6" w:sz="6" w:space="3"/>
        </w:pBdr>
      </w:pPr>
      <w:r>
        <w:t xml:space="preserve">8. Conclusion</w:t>
      </w:r>
    </w:p>
    <w:p>
      <w:pPr>
        <w:spacing w:after="85" w:line="242"/>
      </w:pPr>
      <w:r>
        <w:rPr>
          <w:color w:val="262626"/>
          <w:sz w:val="18"/>
          <w:szCs w:val="18"/>
        </w:rPr>
        <w:t xml:space="preserve">This project explored student mental health and burnout through a structured, data-driven lens, using a dataset of roughly 150,000 student records spanning academic pressure, study habits, sleep patterns, stress levels, and burnout indicators. Through systematic cleaning, validation, and a layered exploratory analysis, several clear and consistent patterns emerged.</w:t>
      </w:r>
    </w:p>
    <w:p>
      <w:pPr>
        <w:spacing w:after="85" w:line="242"/>
      </w:pPr>
      <w:r>
        <w:rPr>
          <w:color w:val="262626"/>
          <w:sz w:val="18"/>
          <w:szCs w:val="18"/>
        </w:rPr>
        <w:t xml:space="preserve">Academic pressure and sleep deprivation proved to be the two strongest and most consistent drivers of stress and burnout, while study hours showed a non-linear relationship in which excessive hours actively increase burnout risk rather than improving outcomes. Academic performance alone was a weak, unreliable proxy for well-being, and a distinct high-risk subgroup emerged — students facing high pressure, low sleep, and excessive study hours simultaneously, a combination that compounds risk well beyond any single factor.</w:t>
      </w:r>
    </w:p>
    <w:p>
      <w:pPr>
        <w:spacing w:after="85" w:line="242"/>
      </w:pPr>
      <w:r>
        <w:rPr>
          <w:color w:val="262626"/>
          <w:sz w:val="18"/>
          <w:szCs w:val="18"/>
        </w:rPr>
        <w:t xml:space="preserve">The overall impact of this analysis lies in reframing student well-being as a measurable, analyzable problem rather than a purely qualitative concern. By converting raw behavioral data into prioritized insight, this project gives institutions a foundation to move from reactive crisis management toward proactive, targeted student support — and a starting point for predictive risk scoring and real-time monitoring tools in future iterations.</w:t>
      </w:r>
    </w:p>
    <w:p>
      <w:pPr>
        <w:pStyle w:val="Heading1"/>
        <w:pBdr>
          <w:bottom w:val="single" w:color="2E75B6" w:sz="6" w:space="3"/>
        </w:pBdr>
      </w:pPr>
      <w:r>
        <w:t xml:space="preserve">9. Future Improvements</w:t>
      </w:r>
    </w:p>
    <w:p>
      <w:pPr>
        <w:spacing w:after="85" w:line="242"/>
      </w:pPr>
      <w:r>
        <w:rPr>
          <w:color w:val="262626"/>
          <w:sz w:val="18"/>
          <w:szCs w:val="18"/>
        </w:rPr>
        <w:t xml:space="preserve">While this project delivers a thorough exploratory analysis, several extensions would significantly increase its practical value in future iterations.</w:t>
      </w:r>
    </w:p>
    <w:p>
      <w:pPr>
        <w:pStyle w:val="Heading2"/>
      </w:pPr>
      <w:r>
        <w:t xml:space="preserve">9.1 Machine Learning Prediction Model</w:t>
      </w:r>
    </w:p>
    <w:p>
      <w:pPr>
        <w:spacing w:after="85" w:line="242"/>
      </w:pPr>
      <w:r>
        <w:rPr>
          <w:color w:val="262626"/>
          <w:sz w:val="18"/>
          <w:szCs w:val="18"/>
        </w:rPr>
        <w:t xml:space="preserve">A natural next step is a supervised classification model (logistic regression, random forest, or gradient boosting) to predict burnout risk category per student from pressure, sleep, and study-hour features — turning descriptive insight into an automated early-warning tool.</w:t>
      </w:r>
    </w:p>
    <w:p>
      <w:pPr>
        <w:pStyle w:val="Heading2"/>
      </w:pPr>
      <w:r>
        <w:t xml:space="preserve">9.2 Interactive Power BI Dashboard</w:t>
      </w:r>
    </w:p>
    <w:p>
      <w:pPr>
        <w:spacing w:after="85" w:line="242"/>
      </w:pPr>
      <w:r>
        <w:rPr>
          <w:color w:val="262626"/>
          <w:sz w:val="18"/>
          <w:szCs w:val="18"/>
        </w:rPr>
        <w:t xml:space="preserve">Converting the static visualizations into an interactive Power BI or Tableau dashboard would let non-technical stakeholders — counseling staff, administrators — explore patterns by department, year, or gender in real time, without reading the underlying code.</w:t>
      </w:r>
    </w:p>
    <w:p>
      <w:pPr>
        <w:pStyle w:val="Heading2"/>
      </w:pPr>
      <w:r>
        <w:t xml:space="preserve">9.3 Predictive Analytics for Early Intervention</w:t>
      </w:r>
    </w:p>
    <w:p>
      <w:pPr>
        <w:spacing w:after="85" w:line="242"/>
      </w:pPr>
      <w:r>
        <w:rPr>
          <w:color w:val="262626"/>
          <w:sz w:val="18"/>
          <w:szCs w:val="18"/>
        </w:rPr>
        <w:t xml:space="preserve">With longitudinal data, a forecasting layer could project how a student’s burnout risk is likely to change over coming weeks, enabling intervention before a crisis point rather than after.</w:t>
      </w:r>
    </w:p>
    <w:p>
      <w:pPr>
        <w:pStyle w:val="Heading2"/>
      </w:pPr>
      <w:r>
        <w:t xml:space="preserve">9.4 Real-Time Monitoring System</w:t>
      </w:r>
    </w:p>
    <w:p>
      <w:pPr>
        <w:spacing w:after="85" w:line="242"/>
      </w:pPr>
      <w:r>
        <w:rPr>
          <w:color w:val="262626"/>
          <w:sz w:val="18"/>
          <w:szCs w:val="18"/>
        </w:rPr>
        <w:t xml:space="preserve">In production, this could evolve into a pipeline that ingests live data — LMS activity, attendance, periodic check-in surveys — to continuously update each student’s risk profile, paired with automated alerts to counseling staff.</w:t>
      </w:r>
    </w:p>
    <w:p>
      <w:pPr>
        <w:pStyle w:val="Heading1"/>
        <w:pBdr>
          <w:bottom w:val="single" w:color="2E75B6" w:sz="6" w:space="3"/>
        </w:pBdr>
      </w:pPr>
      <w:r>
        <w:t xml:space="preserve">10. Project Repository</w:t>
      </w:r>
    </w:p>
    <w:p>
      <w:pPr>
        <w:spacing w:after="85" w:line="242"/>
      </w:pPr>
      <w:r>
        <w:rPr>
          <w:color w:val="262626"/>
          <w:sz w:val="18"/>
          <w:szCs w:val="18"/>
        </w:rPr>
        <w:t xml:space="preserve">The complete source code, Jupyter notebooks, cleaned datasets, and visualization outputs for this project are available in the GitHub repository linked below. The repository includes the full data cleaning pipeline, all EDA visualizations referenced in this report, and supporting documentation.</w:t>
      </w:r>
    </w:p>
    <w:p>
      <w:pPr>
        <w:spacing w:after="200" w:before="80"/>
      </w:pPr>
      <w:r>
        <w:rPr>
          <w:b/>
          <w:bCs/>
          <w:color w:val="262626"/>
          <w:sz w:val="22"/>
          <w:szCs w:val="22"/>
        </w:rPr>
        <w:t xml:space="preserve">GitHub Repository:  </w:t>
      </w:r>
      <w:hyperlink w:history="1" r:id="rId1w9s5imb61a3sv5tdwyg7">
        <w:r>
          <w:rPr>
            <w:rStyle w:val="Hyperlink"/>
            <w:sz w:val="22"/>
            <w:szCs w:val="22"/>
          </w:rPr>
          <w:t xml:space="preserve">https://github.com/Vivek7ok/python_project.git</w:t>
        </w:r>
      </w:hyperlink>
    </w:p>
    <w:p>
      <w:pPr>
        <w:pBdr>
          <w:top w:val="single" w:color="D0D7DE" w:sz="4" w:space="8"/>
        </w:pBdr>
        <w:spacing w:before="160"/>
      </w:pPr>
      <w:r>
        <w:rPr>
          <w:i/>
          <w:iCs/>
          <w:color w:val="595959"/>
          <w:sz w:val="19"/>
          <w:szCs w:val="19"/>
        </w:rPr>
        <w:t xml:space="preserve">Prepared as part of a Data Analyst portfolio project — demonstrating end-to-end EDA workflow, statistical reasoning, and business-oriented insight generation using Python.</w:t>
      </w:r>
    </w:p>
    <w:sectPr>
      <w:headerReference w:type="default" r:id="rId7"/>
      <w:footerReference w:type="default" r:id="rId8"/>
      <w:pgSz w:w="12240" w:h="15840" w:orient="portrait"/>
      <w:pgMar w:top="950" w:right="1180" w:bottom="95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Vivek7ok | Data Analyst Portfolio</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4"/>
      </w:pBdr>
      <w:tabs>
        <w:tab w:val="right" w:pos="9026"/>
      </w:tabs>
    </w:pPr>
    <w:r>
      <w:rPr>
        <w:color w:val="595959"/>
        <w:sz w:val="16"/>
        <w:szCs w:val="16"/>
      </w:rPr>
      <w:t xml:space="preserve">Student Mental Health &amp; Burnout Analysis</w:t>
    </w:r>
    <w:r>
      <w:rPr>
        <w:color w:val="595959"/>
        <w:sz w:val="16"/>
        <w:szCs w:val="16"/>
      </w:rPr>
      <w:t xml:space="preserve">	EDA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abstractNum w:abstractNumId="3"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45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8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55" w:before="110"/>
      <w:outlineLvl w:val="1"/>
    </w:pPr>
    <w:rPr>
      <w:rFonts w:ascii="Calibri" w:cs="Calibri" w:eastAsia="Calibri" w:hAnsi="Calibri"/>
      <w:b/>
      <w:bCs/>
      <w:color w:val="2E75B6"/>
      <w:sz w:val="21"/>
      <w:szCs w:val="21"/>
    </w:rPr>
  </w:style>
  <w:style w:type="paragraph" w:styleId="Heading3">
    <w:name w:val="Heading 3"/>
    <w:basedOn w:val="Normal"/>
    <w:next w:val="Normal"/>
    <w:qFormat/>
    <w:pPr>
      <w:spacing w:after="45" w:before="80"/>
      <w:outlineLvl w:val="2"/>
    </w:pPr>
    <w:rPr>
      <w:rFonts w:ascii="Calibri" w:cs="Calibri" w:eastAsia="Calibri" w:hAnsi="Calibri"/>
      <w:b/>
      <w:bCs/>
      <w:color w:val="595959"/>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w9s5imb61a3sv5tdwyg7" Type="http://schemas.openxmlformats.org/officeDocument/2006/relationships/hyperlink" Target="https://github.com/Vivek7ok/python_project.gi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2026-06-21T02:39:31.986Z</dcterms:created>
  <dcterms:modified xsi:type="dcterms:W3CDTF">2026-06-21T02:39:31.986Z</dcterms:modified>
</cp:coreProperties>
</file>

<file path=docProps/custom.xml><?xml version="1.0" encoding="utf-8"?>
<Properties xmlns="http://schemas.openxmlformats.org/officeDocument/2006/custom-properties" xmlns:vt="http://schemas.openxmlformats.org/officeDocument/2006/docPropsVTypes"/>
</file>