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A7A"/>
          <w:sz w:val="56"/>
          <w:szCs w:val="56"/>
        </w:rPr>
        <w:t xml:space="preserve">Student Mental Health &amp; Burnout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4FA3"/>
          <w:sz w:val="36"/>
          <w:szCs w:val="36"/>
        </w:rPr>
        <w:t xml:space="preserve">Exploratory Data Analysis Report</w:t>
      </w:r>
    </w:p>
    <w:p>
      <w:pPr>
        <w:spacing w:before="0" w:after="400"/>
        <w:jc w:val="center"/>
      </w:pPr>
      <w:r>
        <w:rPr>
          <w:color w:val="2E4FA3"/>
          <w:sz w:val="28"/>
          <w:szCs w:val="28"/>
        </w:rPr>
        <w:t xml:space="preserve">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Dataset: student_mental_health_burnout.csv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Records: 150,000  |  Features: 20  |  No Missing Values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Prepared: March 2026</w:t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Exploratory Data Analysis (EDA) of the Student Mental Health &amp; Burnout dataset, comprising 150,000 student records across 20 features. The dataset captures academic, behavioral, and psychological dimensions of student life with zero missing values, making it ideal for analysis.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highlights from the analysis: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dataset contains 150,000 clean records with 20 features spanning academic performance, mental health scores, and lifestyle indicators.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Gender distribution is perfectly balanced — approximately 33.3% each for Male, Female, and Other.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majority of students (40.2%) fall in the Average financial stress category, while Good and Bad are nearly equal at ~30% each.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Depression scores peak in the 3rd academic year (5.518) and drop in the 4th year (5.476), suggesting mid-program academic pressure is highest.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Burnout and stress levels are uniformly distributed across Low, Medium, and High categories (~33% each).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2. Dataset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contains rich information on student mental health and burnout factors. Below is a summary of key dataset characteristics: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deduplication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missing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– 25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age: 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CGPA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 – 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CGPA: 7.0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 – 4th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Female, Other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~33% each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2.1 Feature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20 features in the dataset cover the following categories: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Identity: student_id, age, gender, course,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Academics: daily_study_hours, attendance_percentage, cgpa, academic_pressure_score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Mental Health: stress_level, anxiety_score, depression_score, burnout_level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Lifestyle: daily_sleep_hours, screen_time_hours, physical_activity_hours, sleep_quality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Environment: financial_stress_score, social_support_score, internet_quality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3. Descriptive Statistics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table below summarizes the central tendency and spread of key numeric variables across all 150,000 records: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234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25%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117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Study Hours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CGPA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Anxiety 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Depression 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Observations: The mean CGPA of 7.00 with a standard deviation of 1.73 indicates a moderately distributed academic performance. Anxiety and depression scores have a mean near 5.5 (out of 10), suggesting moderate mental health challenges across the student population. Daily study hours average 5.51, with some students studying up to 10 hours per day.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4. Financial Stress Analysis</w:t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4.1 Financial State Distribution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Students were classified into three financial states based on their financial_stress_score: Good (≤3), Average (3–7), and Bad (≥7). The distribution is shown below:</w:t>
      </w:r>
    </w:p>
    <w:p>
      <w:pPr>
        <w:spacing w:before="80" w:after="8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rPr>
          <w:tblHeader/>
        </w:trPr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State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(score 3–7)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60,309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40.2%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(score ≤ 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44,932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29.9%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(score ≥ 7)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44,759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29.8%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Financial State Distribution — Count of Students by Financial Category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Insight: The majority of students (40.2%) are in the Average financial state. The near-equal split between Good (29.9%) and Bad (29.8%) suggests financial stress is a widespread and diverse issue among the student population.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5. Gender &amp; Study Hours Analysis</w:t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5.1 Gender Distribution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has a near-perfect balance across three gender categories, as shown below:</w:t>
      </w:r>
    </w:p>
    <w:p>
      <w:pPr>
        <w:spacing w:before="80" w:after="8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rPr>
          <w:tblHeader/>
        </w:trPr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Study Hours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49,988 (33.3%)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5.50 hrs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49,964 (33.3%)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5.51 hrs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50,048 (33.3%)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5.52 hrs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Average Daily Study Hours by Gender (Pie Chart)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Insight: All three gender groups show virtually identical average daily study hours (5.50–5.52 hrs), indicating no significant gender-based difference in study behavior. The even split (33.3% each) also makes the dataset well-suited for unbiased gender-based comparisons.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6. Depression Score by Academic Year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Understanding how depression evolves across academic years is crucial for designing targeted mental health interventions. The line chart below tracks the mean depression score from 1st to 4th year:</w:t>
      </w:r>
    </w:p>
    <w:p>
      <w:pPr>
        <w:spacing w:before="80" w:after="8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312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Depression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5.518  ← Peak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4th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5.476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5048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Average Depression Score by Academic Year (Line Chart)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Insight: Depression scores follow a rise-and-fall pattern, peaking at 3rd year (5.518) and declining in 4th year (5.476). This is consistent with real-world observations where 3rd-year students face increased academic pressure, project work, and career concerns. The recovery in 4th year may reflect adaptation or narrowing focus on graduation.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7. Physical Activity by Academic Year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chart below illustrates the average physical activity hours across academic years. A pie chart representation highlights the relative proportions of physical engagement per year: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4: Average Physical Activity Hours by Academic Year (Pie Chart)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Insight: Physical activity hours are virtually identical across all four academic years (~1.0 hr/day each), resulting in an equal 25% share per year in the pie chart. This uniformity indicates that academic year does not significantly influence the amount of physical activity students engage in.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8. Burnout &amp; Stress Level Distribution</w:t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8.1 Burnout Levels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burnout levels across the student population are distributed as follows:</w:t>
      </w:r>
    </w:p>
    <w:p>
      <w:pPr>
        <w:spacing w:before="80" w:after="8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rPr>
          <w:tblHeader/>
        </w:trPr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Burnout Level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50,265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49,969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49,766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33.2%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Insight: Burnout levels are uniformly spread across Low, Medium, and High categories with roughly 33% each. This suggests that burnout is not concentrated in any specific group — it is a widespread phenomenon affecting all segments of the student population.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8.2 Stress Levels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Similarly, stress levels (High: 50,295 | Medium: 50,090 | Low: 49,615) are also nearly uniformly distributed, indicating that stress, like burnout, is a universal concern across this student dataset.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9. Academic Performance — Top CGPA Students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students achieved the highest CGPA scores in the dataset:</w:t>
      </w:r>
    </w:p>
    <w:p>
      <w:pPr>
        <w:spacing w:before="80" w:after="8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rPr>
          <w:tblHeader/>
        </w:trPr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080"/>
            <w:tcBorders>
              <w:top w:val="single" w:color="2E4FA3" w:sz="4"/>
              <w:left w:val="single" w:color="2E4FA3" w:sz="4"/>
              <w:bottom w:val="single" w:color="2E4FA3" w:sz="4"/>
              <w:right w:val="single" w:color="2E4FA3" w:sz="4"/>
            </w:tcBorders>
            <w:shd w:fill="1F3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CGPA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100039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234931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215471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average CGPA across all 150,000 students is 7.00, with a standard deviation of 1.73. The distribution is fairly symmetric, suggesting a bell-shaped performance distribution. Three students achieved a perfect score of 10.0.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10. Key Findings &amp; Recommendations</w:t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10.1 Key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Financial stress is moderate for most students (40%), but nearly 30% face severe financial difficulties — requiring targeted support programs.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Depression peaks in 3rd year — institutions should deploy counseling resources and workload management strategies specifically for 3rd-year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Physical activity is uniformly low (~1 hr/day regardless of year) — campus wellness programs should encourage more active lifestyles.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Burnout and stress are uniformly spread across all groups — systemic, institution-wide mental health solutions are more appropriate than targeted 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Gender does not significantly influence study hours or performance, indicating equitable academic engagement.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4FA3"/>
          <w:sz w:val="26"/>
          <w:szCs w:val="26"/>
        </w:rPr>
        <w:t xml:space="preserve">10.2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Introduce peer-support financial counseling programs, particularly for students in the 'Bad' financial state category.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 up mental health and counseling resources during 3rd-year, when depression scores peak.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institution-wide wellness campaigns promoting physical activity, as current levels (~1 hr/day) are below recommended thresholds.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 early warning systems using existing features (anxiety score, depression score, academic pressure) to flag at-risk students before burnout escalates.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4FA3" w:sz="6" w:space="1"/>
        </w:pBdr>
        <w:spacing w:before="400" w:after="200"/>
      </w:pPr>
      <w:r>
        <w:rPr>
          <w:b/>
          <w:bCs/>
          <w:color w:val="1F3A7A"/>
          <w:sz w:val="32"/>
          <w:szCs w:val="32"/>
        </w:rPr>
        <w:t xml:space="preserve">11.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exploratory data analysis of the Student Mental Health &amp; Burnout dataset reveals a student population under significant but uniformly distributed psychological stress. With 150,000 complete, clean records across 20 well-structured features, the dataset provides a robust foundation for both descriptive insights and predictive modeling.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analysis shows that financial stress, depression (particularly in the 3rd year), and burnout are widespread concerns. At the same time, the near-equal gender distribution and uniform burnout spread make this dataset highly representative and unbiased. Future work should focus on building predictive models to identify at-risk students early and designing interventions backed by this data.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FA3" w:sz="4" w:space="1"/>
      </w:pBdr>
      <w:jc w:val="right"/>
    </w:pPr>
    <w:r>
      <w:rPr>
        <w:rFonts w:ascii="Arial" w:cs="Arial" w:eastAsia="Arial" w:hAnsi="Arial"/>
        <w:color w:val="2E4FA3"/>
        <w:sz w:val="18"/>
        <w:szCs w:val="18"/>
      </w:rPr>
      <w:t xml:space="preserve">Student Mental Health &amp; Burnout — EDA Report</w:t>
    </w:r>
    <w:r>
      <w:rPr>
        <w:color w:val="888888"/>
        <w:sz w:val="18"/>
        <w:szCs w:val="18"/>
      </w:rPr>
      <w:t xml:space="preserve">    |    Page </w:t>
    </w:r>
    <w:r>
      <w:rPr>
        <w:color w:val="888888"/>
        <w:sz w:val="18"/>
        <w:szCs w:val="18"/>
      </w:rPr>
      <w:t xml:space="preserve">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4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dcde780c1e0c7f63ab921f1f99fa61f661e0b248.png"/><Relationship Id="rId8" Type="http://schemas.openxmlformats.org/officeDocument/2006/relationships/image" Target="media/1f5b4c1c5bb8a8b7e11974ea9024e0b7152c4427.png"/><Relationship Id="rId9" Type="http://schemas.openxmlformats.org/officeDocument/2006/relationships/image" Target="media/3ce373addaa14e9261967127e6740184eb7e08bf.png"/><Relationship Id="rId10" Type="http://schemas.openxmlformats.org/officeDocument/2006/relationships/image" Target="media/55a615e57f3d08a4cd4dd49c74afa7a637cfff6f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2026-03-25T02:48:00.175Z</dcterms:created>
  <dcterms:modified xsi:type="dcterms:W3CDTF">2026-03-25T02:48:00.175Z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