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240"/>
      </w:pPr>
      <w:r>
        <w:t xml:space="preserve">K-12 Knowledge Graph Usage &amp; Graph-Based Recommendations Audit</w:t>
      </w:r>
    </w:p>
    <w:p>
      <w:pPr>
        <w:spacing w:after="40"/>
      </w:pPr>
      <w:r>
        <w:rPr>
          <w:b/>
          <w:bCs/>
        </w:rPr>
        <w:t xml:space="preserve">Date:</w:t>
      </w:r>
      <w:r>
        <w:t xml:space="preserve"> 2026-10-12</w:t>
      </w:r>
    </w:p>
    <w:p>
      <w:pPr>
        <w:spacing w:after="40"/>
      </w:pPr>
      <w:r>
        <w:rPr>
          <w:b/>
          <w:bCs/>
        </w:rPr>
        <w:t xml:space="preserve">Scope:</w:t>
      </w:r>
      <w:r>
        <w:t xml:space="preserve"> Backend </w:t>
      </w:r>
      <w:r>
        <w:rPr>
          <w:rFonts w:ascii="Consolas" w:cs="Consolas" w:eastAsia="Consolas" w:hAnsi="Consolas"/>
        </w:rPr>
        <w:t xml:space="preserve">next_lms_erp</w:t>
      </w:r>
      <w:r>
        <w:t xml:space="preserve"> (branch </w:t>
      </w:r>
      <w:r>
        <w:rPr>
          <w:rFonts w:ascii="Consolas" w:cs="Consolas" w:eastAsia="Consolas" w:hAnsi="Consolas"/>
        </w:rPr>
        <w:t xml:space="preserve">sonika_palv</w:t>
      </w:r>
      <w:r>
        <w:t xml:space="preserve">) and frontend </w:t>
      </w:r>
      <w:r>
        <w:rPr>
          <w:rFonts w:ascii="Consolas" w:cs="Consolas" w:eastAsia="Consolas" w:hAnsi="Consolas"/>
        </w:rPr>
        <w:t xml:space="preserve">lms_k12</w:t>
      </w:r>
    </w:p>
    <w:p>
      <w:pPr>
        <w:spacing w:after="40"/>
      </w:pPr>
      <w:r>
        <w:rPr>
          <w:b/>
          <w:bCs/>
        </w:rPr>
        <w:t xml:space="preserve">Prepared for:</w:t>
      </w:r>
      <w:r>
        <w:t xml:space="preserve"> Senior Management</w:t>
      </w:r>
    </w:p>
    <w:p>
      <w:pPr>
        <w:spacing w:after="40"/>
      </w:pPr>
      <w:r>
        <w:rPr>
          <w:b/>
          <w:bCs/>
        </w:rPr>
        <w:t xml:space="preserve">Audit type:</w:t>
      </w:r>
      <w:r>
        <w:t xml:space="preserve"> Evidence-based code review + live Neo4j/MariaDB verification + two approved fixes</w:t>
      </w:r>
    </w:p>
    <w:p>
      <w:pPr>
        <w:pBdr>
          <w:bottom w:val="single" w:color="AAAAAA" w:sz="6" w:space="6"/>
        </w:pBdr>
        <w:spacing w:after="200"/>
      </w:pPr>
    </w:p>
    <w:p>
      <w:pPr>
        <w:pStyle w:val="Heading1"/>
        <w:spacing w:after="160" w:before="240"/>
      </w:pPr>
      <w:r>
        <w:t xml:space="preserve">1. Executive Summary</w:t>
      </w:r>
    </w:p>
    <w:p>
      <w:pPr>
        <w:spacing w:after="160"/>
      </w:pPr>
      <w:r>
        <w:t xml:space="preserve">Our K-12 platform does use a real Knowledge Graph (Neo4j) in production today, not a demo or a prototype. As of this audit the graph holds </w:t>
      </w:r>
      <w:r>
        <w:rPr>
          <w:b/>
          <w:bCs/>
        </w:rPr>
        <w:t xml:space="preserve">953,911 nodes and 2,946,479 relationships</w:t>
      </w:r>
      <w:r>
        <w:t xml:space="preserve"> — people, curriculum, results, assessments, HR, library, and talent/skills data, all kept in sync from the main database on a scheduled basis. This is a genuine increase from the last time this was measured (2026-09-03: ~379,000 nodes), showing the graph is actively growing, not stalled.</w:t>
      </w:r>
    </w:p>
    <w:p>
      <w:pPr>
        <w:spacing w:after="160"/>
      </w:pPr>
      <w:r>
        <w:t xml:space="preserve">The honest answer to "are our recommendations graph-powered" is: </w:t>
      </w:r>
      <w:r>
        <w:rPr>
          <w:b/>
          <w:bCs/>
        </w:rPr>
        <w:t xml:space="preserve">partially, and in one place genuinely so.</w:t>
      </w:r>
      <w:r>
        <w:t xml:space="preserve"> The Adaptive Learning Engine (ESO) that powers </w:t>
      </w:r>
      <w:r>
        <w:rPr>
          <w:rFonts w:ascii="Consolas" w:cs="Consolas" w:eastAsia="Consolas" w:hAnsi="Consolas"/>
        </w:rPr>
        <w:t xml:space="preserve">/pal/eso</w:t>
      </w:r>
      <w:r>
        <w:t xml:space="preserve"> really does traverse the graph's prerequisite relationships to find the root concept a struggling student is stuck on, and that capability is switched on in this environment today. However, the ranked list of content a student actually sees on the main "Suggested Content" screen is computed by SQL rules and scoring logic, not graph traversal — the graph's insight is attached to that screen as a supporting note, not used to decide what gets shown. Four different "graph-shaped" screens exist across the product (the new PAL Coherence Map, an older course-authoring map, a Capability/skills explorer, and an organisation-chart explorer), and they serve different purposes; this report maps each one to where a user actually finds it.</w:t>
      </w:r>
    </w:p>
    <w:p>
      <w:pPr>
        <w:spacing w:after="160"/>
      </w:pPr>
      <w:r>
        <w:t xml:space="preserve">We found two defects clear enough to fix immediately and did so today, both low-risk: 1. Two backend endpoints that return student assessment/result data had no login check at all. They now require an authenticated session, matching every comparable endpoint in the system. 2. The nightly automatic graph refresh was silently skipping three of twelve update steps that the manual refresh always ran, so the two could drift out of sync. All twelve now run nightly.</w:t>
      </w:r>
    </w:p>
    <w:p>
      <w:pPr>
        <w:spacing w:after="160"/>
      </w:pPr>
      <w:r>
        <w:t xml:space="preserve">Everything else found — a few navigation inconsistencies, a content-recommendation screen that falls back to sample data when nothing has been authored yet (always clearly labeled as sample), and one scheduled sync step we could not fully exercise in this session because of a safety restriction on live database writes — is documented below as a recommendation for a deliberate, scheduled fix rather than something changed today without full testing.</w:t>
      </w:r>
    </w:p>
    <w:p>
      <w:pPr>
        <w:pStyle w:val="Heading1"/>
        <w:spacing w:after="160" w:before="240"/>
      </w:pPr>
      <w:r>
        <w:t xml:space="preserve">2. Audit Objective and Scope</w:t>
      </w:r>
    </w:p>
    <w:p>
      <w:pPr>
        <w:spacing w:after="160"/>
      </w:pPr>
      <w:r>
        <w:t xml:space="preserve">This audit set out to answer, with evidence rather than assumption: where is the Knowledge Graph actually used, where can a user see graph-based recommendations in the application, do those recommendations genuinely use graph relationships, and what is working, partially working, broken, or not implemented. It covers both repositories — backend </w:t>
      </w:r>
      <w:r>
        <w:rPr>
          <w:rFonts w:ascii="Consolas" w:cs="Consolas" w:eastAsia="Consolas" w:hAnsi="Consolas"/>
        </w:rPr>
        <w:t xml:space="preserve">C:\xampp\htdocs\next_lms_erp</w:t>
      </w:r>
      <w:r>
        <w:t xml:space="preserve"> and frontend </w:t>
      </w:r>
      <w:r>
        <w:rPr>
          <w:rFonts w:ascii="Consolas" w:cs="Consolas" w:eastAsia="Consolas" w:hAnsi="Consolas"/>
        </w:rPr>
        <w:t xml:space="preserve">C:\lms_k12</w:t>
      </w:r>
      <w:r>
        <w:t xml:space="preserve"> — and includes a live, read-only check of the production-pattern Neo4j database and a cross-check against the live MariaDB database. Per the audit brief, any fixes made were limited to clear, low-risk, directly related defects; anything requiring a schema change, migration, or broader decision is recorded as a recommendation only.</w:t>
      </w:r>
    </w:p>
    <w:p>
      <w:pPr>
        <w:spacing w:after="160"/>
      </w:pPr>
      <w:r>
        <w:rPr>
          <w:b/>
          <w:bCs/>
        </w:rPr>
        <w:t xml:space="preserve">Method.</w:t>
      </w:r>
      <w:r>
        <w:t xml:space="preserve"> Three independent code-reading passes covered: (A) the backend's Neo4j infrastructure — connection, sync pipelines, routes, and new/changed files; (B) the frontend's graph-related pages and navigation; (C) the end-to-end path from a student's answers to a recommendation shown on screen. Every finding below is cited to a specific file and, where applicable, a line number, so engineering can verify it directly. Live counts were then pulled from the production-pattern Neo4j instance and the MariaDB database this session, using only read-only queries (counts and lookups — no data was created, changed, or deleted).</w:t>
      </w:r>
    </w:p>
    <w:p>
      <w:pPr>
        <w:pStyle w:val="Heading1"/>
        <w:spacing w:after="160" w:before="240"/>
      </w:pPr>
      <w:r>
        <w:t xml:space="preserve">3. System Architecture and KG Usage</w:t>
      </w:r>
    </w:p>
    <w:p>
      <w:pPr>
        <w:spacing w:after="160"/>
      </w:pPr>
      <w:r>
        <w:rPr>
          <w:b/>
          <w:bCs/>
        </w:rPr>
        <w:t xml:space="preserve">What the Knowledge Graph is for here.</w:t>
      </w:r>
      <w:r>
        <w:t xml:space="preserve"> Beyond being a reporting convenience, the graph's distinguishing value is *traversal* — answering "what does a student need to know before this, and before that" by walking a chain of prerequisite links, something a single database table lookup cannot do in one step. That is precisely what the Adaptive Learning Engine uses it for (see Section 6).</w:t>
      </w:r>
    </w:p>
    <w:p>
      <w:pPr>
        <w:spacing w:after="160"/>
      </w:pPr>
      <w:r>
        <w:rPr>
          <w:b/>
          <w:bCs/>
        </w:rPr>
        <w:t xml:space="preserve">How data gets into the graph.</w:t>
      </w:r>
      <w:r>
        <w:t xml:space="preserve"> Four separate mechanisms write to Neo4j, a legacy of incremental build-out rather than a single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8" w:val="clear"/>
            <w:tcMar>
              <w:top w:type="dxa" w:w="60"/>
              <w:left w:type="dxa" w:w="100"/>
              <w:bottom w:type="dxa" w:w="60"/>
              <w:right w:type="dxa" w:w="100"/>
            </w:tcMar>
          </w:tcPr>
          <w:p>
            <w:pPr>
              <w:spacing w:after="60"/>
            </w:pPr>
            <w:r>
              <w:rPr>
                <w:b/>
                <w:bCs/>
                <w:color w:val="FFFFFF"/>
              </w:rPr>
              <w:t xml:space="preserve">Pipeline</w:t>
            </w:r>
          </w:p>
        </w:tc>
        <w:tc>
          <w:tcPr>
            <w:tcW w:type="dxa" w:w="2250"/>
            <w:shd w:fill="1F4E78" w:val="clear"/>
            <w:tcMar>
              <w:top w:type="dxa" w:w="60"/>
              <w:left w:type="dxa" w:w="100"/>
              <w:bottom w:type="dxa" w:w="60"/>
              <w:right w:type="dxa" w:w="100"/>
            </w:tcMar>
          </w:tcPr>
          <w:p>
            <w:pPr>
              <w:spacing w:after="60"/>
            </w:pPr>
            <w:r>
              <w:rPr>
                <w:b/>
                <w:bCs/>
                <w:color w:val="FFFFFF"/>
              </w:rPr>
              <w:t xml:space="preserve">What it does</w:t>
            </w:r>
          </w:p>
        </w:tc>
        <w:tc>
          <w:tcPr>
            <w:tcW w:type="dxa" w:w="2250"/>
            <w:shd w:fill="1F4E78" w:val="clear"/>
            <w:tcMar>
              <w:top w:type="dxa" w:w="60"/>
              <w:left w:type="dxa" w:w="100"/>
              <w:bottom w:type="dxa" w:w="60"/>
              <w:right w:type="dxa" w:w="100"/>
            </w:tcMar>
          </w:tcPr>
          <w:p>
            <w:pPr>
              <w:spacing w:after="60"/>
            </w:pPr>
            <w:r>
              <w:rPr>
                <w:b/>
                <w:bCs/>
                <w:color w:val="FFFFFF"/>
              </w:rPr>
              <w:t xml:space="preserve">How often</w:t>
            </w:r>
          </w:p>
        </w:tc>
        <w:tc>
          <w:tcPr>
            <w:tcW w:type="dxa" w:w="2250"/>
            <w:shd w:fill="1F4E78" w:val="clear"/>
            <w:tcMar>
              <w:top w:type="dxa" w:w="60"/>
              <w:left w:type="dxa" w:w="100"/>
              <w:bottom w:type="dxa" w:w="60"/>
              <w:right w:type="dxa" w:w="100"/>
            </w:tcMar>
          </w:tcPr>
          <w:p>
            <w:pPr>
              <w:spacing w:after="60"/>
            </w:pPr>
            <w:r>
              <w:rPr>
                <w:b/>
                <w:bCs/>
                <w:color w:val="FFFFFF"/>
              </w:rPr>
              <w:t xml:space="preserve">Status today</w:t>
            </w:r>
          </w:p>
        </w:tc>
      </w:tr>
      <w:tr>
        <w:tc>
          <w:tcPr>
            <w:tcW w:type="dxa" w:w="2250"/>
            <w:tcMar>
              <w:top w:type="dxa" w:w="60"/>
              <w:left w:type="dxa" w:w="100"/>
              <w:bottom w:type="dxa" w:w="60"/>
              <w:right w:type="dxa" w:w="100"/>
            </w:tcMar>
          </w:tcPr>
          <w:p>
            <w:pPr>
              <w:spacing w:after="60"/>
            </w:pPr>
            <w:r>
              <w:rPr>
                <w:b/>
                <w:bCs/>
              </w:rPr>
              <w:t xml:space="preserve">Live outbox</w:t>
            </w:r>
          </w:p>
        </w:tc>
        <w:tc>
          <w:tcPr>
            <w:tcW w:type="dxa" w:w="2250"/>
            <w:tcMar>
              <w:top w:type="dxa" w:w="60"/>
              <w:left w:type="dxa" w:w="100"/>
              <w:bottom w:type="dxa" w:w="60"/>
              <w:right w:type="dxa" w:w="100"/>
            </w:tcMar>
          </w:tcPr>
          <w:p>
            <w:pPr>
              <w:spacing w:after="60"/>
            </w:pPr>
            <w:r>
              <w:t xml:space="preserve">Every change to ~50 core tables (students, results, curriculum, questions, HR, etc.) is queued and written to the graph automatically.</w:t>
            </w:r>
          </w:p>
        </w:tc>
        <w:tc>
          <w:tcPr>
            <w:tcW w:type="dxa" w:w="2250"/>
            <w:tcMar>
              <w:top w:type="dxa" w:w="60"/>
              <w:left w:type="dxa" w:w="100"/>
              <w:bottom w:type="dxa" w:w="60"/>
              <w:right w:type="dxa" w:w="100"/>
            </w:tcMar>
          </w:tcPr>
          <w:p>
            <w:pPr>
              <w:spacing w:after="60"/>
            </w:pPr>
            <w:r>
              <w:t xml:space="preserve">Every minute</w:t>
            </w:r>
          </w:p>
        </w:tc>
        <w:tc>
          <w:tcPr>
            <w:tcW w:type="dxa" w:w="2250"/>
            <w:tcMar>
              <w:top w:type="dxa" w:w="60"/>
              <w:left w:type="dxa" w:w="100"/>
              <w:bottom w:type="dxa" w:w="60"/>
              <w:right w:type="dxa" w:w="100"/>
            </w:tcMar>
          </w:tcPr>
          <w:p>
            <w:pPr>
              <w:spacing w:after="60"/>
            </w:pPr>
            <w:r>
              <w:rPr>
                <w:b/>
                <w:bCs/>
              </w:rPr>
              <w:t xml:space="preserve">Live</w:t>
            </w:r>
            <w:r>
              <w:t xml:space="preserve"> — this is the backbone of the 953k-node graph.</w:t>
            </w:r>
          </w:p>
        </w:tc>
      </w:tr>
      <w:tr>
        <w:tc>
          <w:tcPr>
            <w:tcW w:type="dxa" w:w="2250"/>
            <w:tcMar>
              <w:top w:type="dxa" w:w="60"/>
              <w:left w:type="dxa" w:w="100"/>
              <w:bottom w:type="dxa" w:w="60"/>
              <w:right w:type="dxa" w:w="100"/>
            </w:tcMar>
          </w:tcPr>
          <w:p>
            <w:pPr>
              <w:spacing w:after="60"/>
            </w:pPr>
            <w:r>
              <w:rPr>
                <w:b/>
                <w:bCs/>
              </w:rPr>
              <w:t xml:space="preserve">PAL Coherence projection</w:t>
            </w:r>
          </w:p>
        </w:tc>
        <w:tc>
          <w:tcPr>
            <w:tcW w:type="dxa" w:w="2250"/>
            <w:tcMar>
              <w:top w:type="dxa" w:w="60"/>
              <w:left w:type="dxa" w:w="100"/>
              <w:bottom w:type="dxa" w:w="60"/>
              <w:right w:type="dxa" w:w="100"/>
            </w:tcMar>
          </w:tcPr>
          <w:p>
            <w:pPr>
              <w:spacing w:after="60"/>
            </w:pPr>
            <w:r>
              <w:t xml:space="preserve">A purpose-built, curriculum-focused sync covering concepts, prerequisites, content, questions, misconceptions, and more — 12 distinct update steps.</w:t>
            </w:r>
          </w:p>
        </w:tc>
        <w:tc>
          <w:tcPr>
            <w:tcW w:type="dxa" w:w="2250"/>
            <w:tcMar>
              <w:top w:type="dxa" w:w="60"/>
              <w:left w:type="dxa" w:w="100"/>
              <w:bottom w:type="dxa" w:w="60"/>
              <w:right w:type="dxa" w:w="100"/>
            </w:tcMar>
          </w:tcPr>
          <w:p>
            <w:pPr>
              <w:spacing w:after="60"/>
            </w:pPr>
            <w:r>
              <w:t xml:space="preserve">Nightly (new as of this audit cycle) + on demand</w:t>
            </w:r>
          </w:p>
        </w:tc>
        <w:tc>
          <w:tcPr>
            <w:tcW w:type="dxa" w:w="2250"/>
            <w:tcMar>
              <w:top w:type="dxa" w:w="60"/>
              <w:left w:type="dxa" w:w="100"/>
              <w:bottom w:type="dxa" w:w="60"/>
              <w:right w:type="dxa" w:w="100"/>
            </w:tcMar>
          </w:tcPr>
          <w:p>
            <w:pPr>
              <w:spacing w:after="60"/>
            </w:pPr>
            <w:r>
              <w:rPr>
                <w:b/>
                <w:bCs/>
              </w:rPr>
              <w:t xml:space="preserve">Live.</w:t>
            </w:r>
            <w:r>
              <w:t xml:space="preserve"> Previously only ran when a developer typed the command by hand; a nightly schedule was recently added (see Section 10 for the gap we closed today).</w:t>
            </w:r>
          </w:p>
        </w:tc>
      </w:tr>
      <w:tr>
        <w:tc>
          <w:tcPr>
            <w:tcW w:type="dxa" w:w="2250"/>
            <w:tcMar>
              <w:top w:type="dxa" w:w="60"/>
              <w:left w:type="dxa" w:w="100"/>
              <w:bottom w:type="dxa" w:w="60"/>
              <w:right w:type="dxa" w:w="100"/>
            </w:tcMar>
          </w:tcPr>
          <w:p>
            <w:pPr>
              <w:spacing w:after="60"/>
            </w:pPr>
            <w:r>
              <w:rPr>
                <w:b/>
                <w:bCs/>
              </w:rPr>
              <w:t xml:space="preserve">Legacy batch loader</w:t>
            </w:r>
          </w:p>
        </w:tc>
        <w:tc>
          <w:tcPr>
            <w:tcW w:type="dxa" w:w="2250"/>
            <w:tcMar>
              <w:top w:type="dxa" w:w="60"/>
              <w:left w:type="dxa" w:w="100"/>
              <w:bottom w:type="dxa" w:w="60"/>
              <w:right w:type="dxa" w:w="100"/>
            </w:tcMar>
          </w:tcPr>
          <w:p>
            <w:pPr>
              <w:spacing w:after="60"/>
            </w:pPr>
            <w:r>
              <w:t xml:space="preserve">An older, one-time bulk import mechanism using a different internal key convention.</w:t>
            </w:r>
          </w:p>
        </w:tc>
        <w:tc>
          <w:tcPr>
            <w:tcW w:type="dxa" w:w="2250"/>
            <w:tcMar>
              <w:top w:type="dxa" w:w="60"/>
              <w:left w:type="dxa" w:w="100"/>
              <w:bottom w:type="dxa" w:w="60"/>
              <w:right w:type="dxa" w:w="100"/>
            </w:tcMar>
          </w:tcPr>
          <w:p>
            <w:pPr>
              <w:spacing w:after="60"/>
            </w:pPr>
            <w:r>
              <w:t xml:space="preserve">Manual, one-off</w:t>
            </w:r>
          </w:p>
        </w:tc>
        <w:tc>
          <w:tcPr>
            <w:tcW w:type="dxa" w:w="2250"/>
            <w:tcMar>
              <w:top w:type="dxa" w:w="60"/>
              <w:left w:type="dxa" w:w="100"/>
              <w:bottom w:type="dxa" w:w="60"/>
              <w:right w:type="dxa" w:w="100"/>
            </w:tcMar>
          </w:tcPr>
          <w:p>
            <w:pPr>
              <w:spacing w:after="60"/>
            </w:pPr>
            <w:r>
              <w:rPr>
                <w:b/>
                <w:bCs/>
              </w:rPr>
              <w:t xml:space="preserve">Stalled.</w:t>
            </w:r>
            <w:r>
              <w:t xml:space="preserve"> Not part of day-to-day operation; a known, pre-existing migration-in-progress.</w:t>
            </w:r>
          </w:p>
        </w:tc>
      </w:tr>
      <w:tr>
        <w:tc>
          <w:tcPr>
            <w:tcW w:type="dxa" w:w="2250"/>
            <w:tcMar>
              <w:top w:type="dxa" w:w="60"/>
              <w:left w:type="dxa" w:w="100"/>
              <w:bottom w:type="dxa" w:w="60"/>
              <w:right w:type="dxa" w:w="100"/>
            </w:tcMar>
          </w:tcPr>
          <w:p>
            <w:pPr>
              <w:spacing w:after="60"/>
            </w:pPr>
            <w:r>
              <w:rPr>
                <w:b/>
                <w:bCs/>
              </w:rPr>
              <w:t xml:space="preserve">Legacy inline writers</w:t>
            </w:r>
          </w:p>
        </w:tc>
        <w:tc>
          <w:tcPr>
            <w:tcW w:type="dxa" w:w="2250"/>
            <w:tcMar>
              <w:top w:type="dxa" w:w="60"/>
              <w:left w:type="dxa" w:w="100"/>
              <w:bottom w:type="dxa" w:w="60"/>
              <w:right w:type="dxa" w:w="100"/>
            </w:tcMar>
          </w:tcPr>
          <w:p>
            <w:pPr>
              <w:spacing w:after="60"/>
            </w:pPr>
            <w:r>
              <w:t xml:space="preserve">Old code paths that wrote directly to the graph during a request.</w:t>
            </w:r>
          </w:p>
        </w:tc>
        <w:tc>
          <w:tcPr>
            <w:tcW w:type="dxa" w:w="2250"/>
            <w:tcMar>
              <w:top w:type="dxa" w:w="60"/>
              <w:left w:type="dxa" w:w="100"/>
              <w:bottom w:type="dxa" w:w="60"/>
              <w:right w:type="dxa" w:w="100"/>
            </w:tcMar>
          </w:tcPr>
          <w:p>
            <w:pPr>
              <w:spacing w:after="60"/>
            </w:pPr>
            <w:r>
              <w:t xml:space="preserve">N/A</w:t>
            </w:r>
          </w:p>
        </w:tc>
        <w:tc>
          <w:tcPr>
            <w:tcW w:type="dxa" w:w="2250"/>
            <w:tcMar>
              <w:top w:type="dxa" w:w="60"/>
              <w:left w:type="dxa" w:w="100"/>
              <w:bottom w:type="dxa" w:w="60"/>
              <w:right w:type="dxa" w:w="100"/>
            </w:tcMar>
          </w:tcPr>
          <w:p>
            <w:pPr>
              <w:spacing w:after="60"/>
            </w:pPr>
            <w:r>
              <w:rPr>
                <w:b/>
                <w:bCs/>
              </w:rPr>
              <w:t xml:space="preserve">Switched off.</w:t>
            </w:r>
            <w:r>
              <w:t xml:space="preserve"> A safety flag (</w:t>
            </w:r>
            <w:r>
              <w:rPr>
                <w:rFonts w:ascii="Consolas" w:cs="Consolas" w:eastAsia="Consolas" w:hAnsi="Consolas"/>
              </w:rPr>
              <w:t xml:space="preserve">NEO4J_WRITES_ENABLED=false</w:t>
            </w:r>
            <w:r>
              <w:t xml:space="preserve">) disables these; they log a skip rather than writing.</w:t>
            </w:r>
          </w:p>
        </w:tc>
      </w:tr>
    </w:tbl>
    <w:p>
      <w:pPr>
        <w:spacing w:after="120"/>
      </w:pPr>
    </w:p>
    <w:p>
      <w:pPr>
        <w:spacing w:after="160"/>
      </w:pPr>
      <w:r>
        <w:t xml:space="preserve">This is architecturally sound in the sense that nothing is silently double-running — where two pipelines write the same relationship type (one specific case, detailed in Section 9), the code has an explicit guard preventing one from overwriting the other's work, and this was confirmed by direct code inspection.</w:t>
      </w:r>
    </w:p>
    <w:p>
      <w:pPr>
        <w:spacing w:after="160"/>
      </w:pPr>
      <w:r>
        <w:rPr>
          <w:b/>
          <w:bCs/>
        </w:rPr>
        <w:t xml:space="preserve">Confirmed via live query (2026-10-12):</w:t>
      </w:r>
      <w:r>
        <w:t xml:space="preserve"> the graph is reachable, healthy, and tenant-scoped correctly — a spot-check of </w:t>
      </w:r>
      <w:r>
        <w:rPr>
          <w:rFonts w:ascii="Consolas" w:cs="Consolas" w:eastAsia="Consolas" w:hAnsi="Consolas"/>
        </w:rPr>
        <w:t xml:space="preserve">Concept</w:t>
      </w:r>
      <w:r>
        <w:t xml:space="preserve"> nodes by institute matched the source database almost exactly (6,953 vs 6,944 and 812 vs 812 across the two institutes that use this data), with no unexpected institutes present. Full counts are in Section 5.</w:t>
      </w:r>
    </w:p>
    <w:p>
      <w:pPr>
        <w:pStyle w:val="Heading1"/>
        <w:spacing w:after="160" w:before="240"/>
      </w:pPr>
      <w:r>
        <w:t xml:space="preserve">4. Feature Inventory and Application Navigation</w:t>
      </w:r>
    </w:p>
    <w:p>
      <w:pPr>
        <w:spacing w:after="160"/>
      </w:pPr>
      <w:r>
        <w:t xml:space="preserve">Four distinct "graph-shaped" experiences exist in the product. They are easy to conflate from the outside but serve different audiences and, in two cases, different graphs entirely.</w:t>
      </w:r>
    </w:p>
    <w:p>
      <w:pPr>
        <w:spacing w:after="120"/>
        <w:ind w:left="360" w:hanging="300"/>
      </w:pPr>
      <w:r>
        <w:t xml:space="preserve">1. </w:t>
      </w:r>
      <w:r>
        <w:rPr>
          <w:b/>
          <w:bCs/>
        </w:rPr>
        <w:t xml:space="preserve">PAL Coherence Map</w:t>
      </w:r>
      <w:r>
        <w:t xml:space="preserve"> (</w:t>
      </w:r>
      <w:r>
        <w:rPr>
          <w:rFonts w:ascii="Consolas" w:cs="Consolas" w:eastAsia="Consolas" w:hAnsi="Consolas"/>
        </w:rPr>
        <w:t xml:space="preserve">/pal/new/coherence-map</w:t>
      </w:r>
      <w:r>
        <w:t xml:space="preserve">) — the current, actively-developed curriculum map, genuinely read from Neo4j. Shows concepts and their prerequisite chains for a class and subject, with a prerequisite-depth drawer per concept. </w:t>
      </w:r>
      <w:r>
        <w:rPr>
          <w:b/>
          <w:bCs/>
        </w:rPr>
        <w:t xml:space="preserve">Has a sidebar/menu entry.</w:t>
      </w:r>
      <w:r>
        <w:t xml:space="preserve"> The screen itself is candid with the user: every prerequisite link shown today is an AI-drafted suggestion that hasn't been human-reviewed yet, and the screen says so up front with counts, rather than presenting it as finished curriculum truth.</w:t>
      </w:r>
    </w:p>
    <w:p>
      <w:pPr>
        <w:spacing w:after="120"/>
        <w:ind w:left="360" w:hanging="300"/>
      </w:pPr>
      <w:r>
        <w:t xml:space="preserve">2. </w:t>
      </w:r>
      <w:r>
        <w:rPr>
          <w:b/>
          <w:bCs/>
        </w:rPr>
        <w:t xml:space="preserve">Course-Master Coherence View</w:t>
      </w:r>
      <w:r>
        <w:t xml:space="preserve"> — an older, separate implementation embedded inside the Course-Master course-authoring workflow (Course Master → a course → Chapters tab → "Coherence map" button). Reads the authoring database (MariaDB) directly, not Neo4j, by a deliberate design decision explained in Section 9. No sidebar entry of its own; reached only via that button.</w:t>
      </w:r>
    </w:p>
    <w:p>
      <w:pPr>
        <w:spacing w:after="120"/>
        <w:ind w:left="360" w:hanging="300"/>
      </w:pPr>
      <w:r>
        <w:t xml:space="preserve">3. </w:t>
      </w:r>
      <w:r>
        <w:rPr>
          <w:b/>
          <w:bCs/>
        </w:rPr>
        <w:t xml:space="preserve">Capability Explorer</w:t>
      </w:r>
      <w:r>
        <w:t xml:space="preserve"> (</w:t>
      </w:r>
      <w:r>
        <w:rPr>
          <w:rFonts w:ascii="Consolas" w:cs="Consolas" w:eastAsia="Consolas" w:hAnsi="Consolas"/>
        </w:rPr>
        <w:t xml:space="preserve">/capability-intelligence/capability-explorer</w:t>
      </w:r>
      <w:r>
        <w:t xml:space="preserve">) — a genuinely Neo4j-backed view of the occupational skill / job-role graph (16,000+ skills, 5,800+ job roles). </w:t>
      </w:r>
      <w:r>
        <w:rPr>
          <w:b/>
          <w:bCs/>
        </w:rPr>
        <w:t xml:space="preserve">Has a sidebar entry.</w:t>
      </w:r>
      <w:r>
        <w:t xml:space="preserve"> Worth noting: an internal audit three weeks ago (2026-09-30) found this screen was still a demo/stub showing placeholder data from a third-party site. That has since been fixed — it now reads the platform's own graph. This is a genuine improvement since the last check, not a new issue.</w:t>
      </w:r>
    </w:p>
    <w:p>
      <w:pPr>
        <w:spacing w:after="120"/>
        <w:ind w:left="360" w:hanging="300"/>
      </w:pPr>
      <w:r>
        <w:t xml:space="preserve">4. </w:t>
      </w:r>
      <w:r>
        <w:rPr>
          <w:b/>
          <w:bCs/>
        </w:rPr>
        <w:t xml:space="preserve">Enterprise Brain Graph Explorer</w:t>
      </w:r>
      <w:r>
        <w:t xml:space="preserve"> (</w:t>
      </w:r>
      <w:r>
        <w:rPr>
          <w:rFonts w:ascii="Consolas" w:cs="Consolas" w:eastAsia="Consolas" w:hAnsi="Consolas"/>
        </w:rPr>
        <w:t xml:space="preserve">/enterprise-brain/knowledge/graph</w:t>
      </w:r>
      <w:r>
        <w:t xml:space="preserve">) — a different graph entirely: the *organisational* chart (departments, staff, classes), not curriculum. Reachable only by visiting the Enterprise Brain home page and clicking a card — it has </w:t>
      </w:r>
      <w:r>
        <w:rPr>
          <w:b/>
          <w:bCs/>
        </w:rPr>
        <w:t xml:space="preserve">no sidebar entry of its own</w:t>
      </w:r>
      <w:r>
        <w:t xml:space="preserve">, nor do several sibling pages next to it (library, memory, kasba, ESO-library, AI-assistant), which could not be confirmed to be reachable from the UI at all.</w:t>
      </w:r>
    </w:p>
    <w:p>
      <w:pPr>
        <w:spacing w:after="160"/>
      </w:pPr>
      <w:r>
        <w:rPr>
          <w:b/>
          <w:bCs/>
        </w:rPr>
        <w:t xml:space="preserve">The "Suggested Content" screen</w:t>
      </w:r>
      <w:r>
        <w:t xml:space="preserve"> (what a student actually sees as recommended material) exists in two versions — an older one on the main PAL page and a newer one on the ESO/Adaptive Learning page — both detailed with their data sources in Section 6.</w:t>
      </w:r>
    </w:p>
    <w:p>
      <w:pPr>
        <w:spacing w:after="160"/>
      </w:pPr>
      <w:r>
        <w:rPr>
          <w:b/>
          <w:bCs/>
        </w:rPr>
        <w:t xml:space="preserve">A self-documented navigation gap</w:t>
      </w:r>
      <w:r>
        <w:t xml:space="preserve">: the New PAL section's own sub-navigation bar is missing links to four of its seven real sub-modules (Administration, Gamification, Pedagogy Engine, and Unified Learning Units) — the developers' own code comment flags this as a known inconsistency between the hard-coded pill bar and the actual menu configuration. Not fixed today (frontend scope, not part of today's approved fixes); recommended in Section 11.</w:t>
      </w:r>
    </w:p>
    <w:p>
      <w:pPr>
        <w:pStyle w:val="Heading1"/>
        <w:spacing w:after="160" w:before="240"/>
      </w:pPr>
      <w:r>
        <w:t xml:space="preserve">5. Knowledge Graph — Nodes and Relationships (Live, Verified 2026-10-12)</w:t>
      </w:r>
    </w:p>
    <w:p>
      <w:pPr>
        <w:spacing w:after="160"/>
      </w:pPr>
      <w:r>
        <w:t xml:space="preserve">Connection confirmed healthy (</w:t>
      </w:r>
      <w:r>
        <w:rPr>
          <w:rFonts w:ascii="Consolas" w:cs="Consolas" w:eastAsia="Consolas" w:hAnsi="Consolas"/>
        </w:rPr>
        <w:t xml:space="preserve">Neo4j Connected Successfully</w:t>
      </w:r>
      <w:r>
        <w:t xml:space="preserve">). All figures below were read live this session using read-only Cypher (</w:t>
      </w:r>
      <w:r>
        <w:rPr>
          <w:rFonts w:ascii="Consolas" w:cs="Consolas" w:eastAsia="Consolas" w:hAnsi="Consolas"/>
        </w:rPr>
        <w:t xml:space="preserve">MATCH</w:t>
      </w:r>
      <w:r>
        <w:t xml:space="preserve">/</w:t>
      </w:r>
      <w:r>
        <w:rPr>
          <w:rFonts w:ascii="Consolas" w:cs="Consolas" w:eastAsia="Consolas" w:hAnsi="Consolas"/>
        </w:rPr>
        <w:t xml:space="preserve">RETURN</w:t>
      </w:r>
      <w:r>
        <w:t xml:space="preserve">/</w:t>
      </w:r>
      <w:r>
        <w:rPr>
          <w:rFonts w:ascii="Consolas" w:cs="Consolas" w:eastAsia="Consolas" w:hAnsi="Consolas"/>
        </w:rPr>
        <w:t xml:space="preserve">SHOW</w:t>
      </w:r>
      <w:r>
        <w:t xml:space="preserve"> only — nothing was created, changed, or deleted).</w:t>
      </w:r>
    </w:p>
    <w:p>
      <w:pPr>
        <w:spacing w:after="40"/>
      </w:pPr>
      <w:r>
        <w:rPr>
          <w:b/>
          <w:bCs/>
        </w:rPr>
        <w:t xml:space="preserve">Totals:</w:t>
      </w:r>
      <w:r>
        <w:t xml:space="preserve"> 953,911 nodes · 2,946,479 relationships · 197 constraints · 201 indexes.</w:t>
      </w:r>
    </w:p>
    <w:p>
      <w:pPr>
        <w:spacing w:after="40"/>
      </w:pPr>
      <w:r>
        <w:rPr>
          <w:b/>
          <w:bCs/>
        </w:rPr>
        <w:t xml:space="preserve">Curriculum-relevant node 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8" w:val="clear"/>
            <w:tcMar>
              <w:top w:type="dxa" w:w="60"/>
              <w:left w:type="dxa" w:w="100"/>
              <w:bottom w:type="dxa" w:w="60"/>
              <w:right w:type="dxa" w:w="100"/>
            </w:tcMar>
          </w:tcPr>
          <w:p>
            <w:pPr>
              <w:spacing w:after="60"/>
            </w:pPr>
            <w:r>
              <w:rPr>
                <w:b/>
                <w:bCs/>
                <w:color w:val="FFFFFF"/>
              </w:rPr>
              <w:t xml:space="preserve">Label</w:t>
            </w:r>
          </w:p>
        </w:tc>
        <w:tc>
          <w:tcPr>
            <w:tcW w:type="dxa" w:w="3000"/>
            <w:shd w:fill="1F4E78" w:val="clear"/>
            <w:tcMar>
              <w:top w:type="dxa" w:w="60"/>
              <w:left w:type="dxa" w:w="100"/>
              <w:bottom w:type="dxa" w:w="60"/>
              <w:right w:type="dxa" w:w="100"/>
            </w:tcMar>
          </w:tcPr>
          <w:p>
            <w:pPr>
              <w:spacing w:after="60"/>
            </w:pPr>
            <w:r>
              <w:rPr>
                <w:b/>
                <w:bCs/>
                <w:color w:val="FFFFFF"/>
              </w:rPr>
              <w:t xml:space="preserve">Count</w:t>
            </w:r>
          </w:p>
        </w:tc>
        <w:tc>
          <w:tcPr>
            <w:tcW w:type="dxa" w:w="3000"/>
            <w:shd w:fill="1F4E78" w:val="clear"/>
            <w:tcMar>
              <w:top w:type="dxa" w:w="60"/>
              <w:left w:type="dxa" w:w="100"/>
              <w:bottom w:type="dxa" w:w="60"/>
              <w:right w:type="dxa" w:w="100"/>
            </w:tcMar>
          </w:tcPr>
          <w:p>
            <w:pPr>
              <w:spacing w:after="60"/>
            </w:pPr>
            <w:r>
              <w:rPr>
                <w:b/>
                <w:bCs/>
                <w:color w:val="FFFFFF"/>
              </w:rPr>
              <w:t xml:space="preserve">Note</w:t>
            </w:r>
          </w:p>
        </w:tc>
      </w:tr>
      <w:tr>
        <w:tc>
          <w:tcPr>
            <w:tcW w:type="dxa" w:w="3000"/>
            <w:tcMar>
              <w:top w:type="dxa" w:w="60"/>
              <w:left w:type="dxa" w:w="100"/>
              <w:bottom w:type="dxa" w:w="60"/>
              <w:right w:type="dxa" w:w="100"/>
            </w:tcMar>
          </w:tcPr>
          <w:p>
            <w:pPr>
              <w:spacing w:after="60"/>
            </w:pPr>
            <w:r>
              <w:t xml:space="preserve">Concept</w:t>
            </w:r>
          </w:p>
        </w:tc>
        <w:tc>
          <w:tcPr>
            <w:tcW w:type="dxa" w:w="3000"/>
            <w:tcMar>
              <w:top w:type="dxa" w:w="60"/>
              <w:left w:type="dxa" w:w="100"/>
              <w:bottom w:type="dxa" w:w="60"/>
              <w:right w:type="dxa" w:w="100"/>
            </w:tcMar>
          </w:tcPr>
          <w:p>
            <w:pPr>
              <w:spacing w:after="60"/>
            </w:pPr>
            <w:r>
              <w:t xml:space="preserve">7,765</w:t>
            </w:r>
          </w:p>
        </w:tc>
        <w:tc>
          <w:tcPr>
            <w:tcW w:type="dxa" w:w="3000"/>
            <w:tcMar>
              <w:top w:type="dxa" w:w="60"/>
              <w:left w:type="dxa" w:w="100"/>
              <w:bottom w:type="dxa" w:w="60"/>
              <w:right w:type="dxa" w:w="100"/>
            </w:tcMar>
          </w:tcPr>
          <w:p>
            <w:pPr>
              <w:spacing w:after="60"/>
            </w:pPr>
            <w:r>
              <w:t xml:space="preserve">Matches MariaDB's 7,756-row </w:t>
            </w:r>
            <w:r>
              <w:rPr>
                <w:rFonts w:ascii="Consolas" w:cs="Consolas" w:eastAsia="Consolas" w:hAnsi="Consolas"/>
              </w:rPr>
              <w:t xml:space="preserve">lms_concept</w:t>
            </w:r>
            <w:r>
              <w:t xml:space="preserve"> table almost exactly (expected small lag).</w:t>
            </w:r>
          </w:p>
        </w:tc>
      </w:tr>
      <w:tr>
        <w:tc>
          <w:tcPr>
            <w:tcW w:type="dxa" w:w="3000"/>
            <w:tcMar>
              <w:top w:type="dxa" w:w="60"/>
              <w:left w:type="dxa" w:w="100"/>
              <w:bottom w:type="dxa" w:w="60"/>
              <w:right w:type="dxa" w:w="100"/>
            </w:tcMar>
          </w:tcPr>
          <w:p>
            <w:pPr>
              <w:spacing w:after="60"/>
            </w:pPr>
            <w:r>
              <w:t xml:space="preserve">Chapter</w:t>
            </w:r>
          </w:p>
        </w:tc>
        <w:tc>
          <w:tcPr>
            <w:tcW w:type="dxa" w:w="3000"/>
            <w:tcMar>
              <w:top w:type="dxa" w:w="60"/>
              <w:left w:type="dxa" w:w="100"/>
              <w:bottom w:type="dxa" w:w="60"/>
              <w:right w:type="dxa" w:w="100"/>
            </w:tcMar>
          </w:tcPr>
          <w:p>
            <w:pPr>
              <w:spacing w:after="60"/>
            </w:pPr>
            <w:r>
              <w:t xml:space="preserve">3,996</w:t>
            </w:r>
          </w:p>
        </w:tc>
        <w:tc>
          <w:tcPr>
            <w:tcW w:type="dxa" w:w="3000"/>
            <w:tcMar>
              <w:top w:type="dxa" w:w="60"/>
              <w:left w:type="dxa" w:w="100"/>
              <w:bottom w:type="dxa" w:w="60"/>
              <w:right w:type="dxa" w:w="100"/>
            </w:tcMar>
          </w:tcPr>
          <w:p>
            <w:pPr>
              <w:spacing w:after="60"/>
            </w:pPr>
            <w:r>
              <w:t xml:space="preserve"/>
            </w:r>
          </w:p>
        </w:tc>
      </w:tr>
      <w:tr>
        <w:tc>
          <w:tcPr>
            <w:tcW w:type="dxa" w:w="3000"/>
            <w:tcMar>
              <w:top w:type="dxa" w:w="60"/>
              <w:left w:type="dxa" w:w="100"/>
              <w:bottom w:type="dxa" w:w="60"/>
              <w:right w:type="dxa" w:w="100"/>
            </w:tcMar>
          </w:tcPr>
          <w:p>
            <w:pPr>
              <w:spacing w:after="60"/>
            </w:pPr>
            <w:r>
              <w:t xml:space="preserve">Topic</w:t>
            </w:r>
          </w:p>
        </w:tc>
        <w:tc>
          <w:tcPr>
            <w:tcW w:type="dxa" w:w="3000"/>
            <w:tcMar>
              <w:top w:type="dxa" w:w="60"/>
              <w:left w:type="dxa" w:w="100"/>
              <w:bottom w:type="dxa" w:w="60"/>
              <w:right w:type="dxa" w:w="100"/>
            </w:tcMar>
          </w:tcPr>
          <w:p>
            <w:pPr>
              <w:spacing w:after="60"/>
            </w:pPr>
            <w:r>
              <w:t xml:space="preserve">16,158</w:t>
            </w:r>
          </w:p>
        </w:tc>
        <w:tc>
          <w:tcPr>
            <w:tcW w:type="dxa" w:w="3000"/>
            <w:tcMar>
              <w:top w:type="dxa" w:w="60"/>
              <w:left w:type="dxa" w:w="100"/>
              <w:bottom w:type="dxa" w:w="60"/>
              <w:right w:type="dxa" w:w="100"/>
            </w:tcMar>
          </w:tcPr>
          <w:p>
            <w:pPr>
              <w:spacing w:after="60"/>
            </w:pPr>
            <w:r>
              <w:t xml:space="preserve">Well populated — corrects a stale code comment that claimed this didn't exist (see Section 9).</w:t>
            </w:r>
          </w:p>
        </w:tc>
      </w:tr>
      <w:tr>
        <w:tc>
          <w:tcPr>
            <w:tcW w:type="dxa" w:w="3000"/>
            <w:tcMar>
              <w:top w:type="dxa" w:w="60"/>
              <w:left w:type="dxa" w:w="100"/>
              <w:bottom w:type="dxa" w:w="60"/>
              <w:right w:type="dxa" w:w="100"/>
            </w:tcMar>
          </w:tcPr>
          <w:p>
            <w:pPr>
              <w:spacing w:after="60"/>
            </w:pPr>
            <w:r>
              <w:t xml:space="preserve">Unit</w:t>
            </w:r>
          </w:p>
        </w:tc>
        <w:tc>
          <w:tcPr>
            <w:tcW w:type="dxa" w:w="3000"/>
            <w:tcMar>
              <w:top w:type="dxa" w:w="60"/>
              <w:left w:type="dxa" w:w="100"/>
              <w:bottom w:type="dxa" w:w="60"/>
              <w:right w:type="dxa" w:w="100"/>
            </w:tcMar>
          </w:tcPr>
          <w:p>
            <w:pPr>
              <w:spacing w:after="60"/>
            </w:pPr>
            <w:r>
              <w:t xml:space="preserve">194</w:t>
            </w:r>
          </w:p>
        </w:tc>
        <w:tc>
          <w:tcPr>
            <w:tcW w:type="dxa" w:w="3000"/>
            <w:tcMar>
              <w:top w:type="dxa" w:w="60"/>
              <w:left w:type="dxa" w:w="100"/>
              <w:bottom w:type="dxa" w:w="60"/>
              <w:right w:type="dxa" w:w="100"/>
            </w:tcMar>
          </w:tcPr>
          <w:p>
            <w:pPr>
              <w:spacing w:after="60"/>
            </w:pPr>
            <w:r>
              <w:t xml:space="preserve">Exists as a bare node type but </w:t>
            </w:r>
            <w:r>
              <w:rPr>
                <w:b/>
                <w:bCs/>
              </w:rPr>
              <w:t xml:space="preserve">not</w:t>
            </w:r>
            <w:r>
              <w:t xml:space="preserve"> linked into the curriculum chain (see below).</w:t>
            </w:r>
          </w:p>
        </w:tc>
      </w:tr>
      <w:tr>
        <w:tc>
          <w:tcPr>
            <w:tcW w:type="dxa" w:w="3000"/>
            <w:tcMar>
              <w:top w:type="dxa" w:w="60"/>
              <w:left w:type="dxa" w:w="100"/>
              <w:bottom w:type="dxa" w:w="60"/>
              <w:right w:type="dxa" w:w="100"/>
            </w:tcMar>
          </w:tcPr>
          <w:p>
            <w:pPr>
              <w:spacing w:after="60"/>
            </w:pPr>
            <w:r>
              <w:t xml:space="preserve">Subject</w:t>
            </w:r>
          </w:p>
        </w:tc>
        <w:tc>
          <w:tcPr>
            <w:tcW w:type="dxa" w:w="3000"/>
            <w:tcMar>
              <w:top w:type="dxa" w:w="60"/>
              <w:left w:type="dxa" w:w="100"/>
              <w:bottom w:type="dxa" w:w="60"/>
              <w:right w:type="dxa" w:w="100"/>
            </w:tcMar>
          </w:tcPr>
          <w:p>
            <w:pPr>
              <w:spacing w:after="60"/>
            </w:pPr>
            <w:r>
              <w:t xml:space="preserve">2,736</w:t>
            </w:r>
          </w:p>
        </w:tc>
        <w:tc>
          <w:tcPr>
            <w:tcW w:type="dxa" w:w="3000"/>
            <w:tcMar>
              <w:top w:type="dxa" w:w="60"/>
              <w:left w:type="dxa" w:w="100"/>
              <w:bottom w:type="dxa" w:w="60"/>
              <w:right w:type="dxa" w:w="100"/>
            </w:tcMar>
          </w:tcPr>
          <w:p>
            <w:pPr>
              <w:spacing w:after="60"/>
            </w:pPr>
            <w:r>
              <w:t xml:space="preserve"/>
            </w:r>
          </w:p>
        </w:tc>
      </w:tr>
      <w:tr>
        <w:tc>
          <w:tcPr>
            <w:tcW w:type="dxa" w:w="3000"/>
            <w:tcMar>
              <w:top w:type="dxa" w:w="60"/>
              <w:left w:type="dxa" w:w="100"/>
              <w:bottom w:type="dxa" w:w="60"/>
              <w:right w:type="dxa" w:w="100"/>
            </w:tcMar>
          </w:tcPr>
          <w:p>
            <w:pPr>
              <w:spacing w:after="60"/>
            </w:pPr>
            <w:r>
              <w:t xml:space="preserve">Curriculum</w:t>
            </w:r>
          </w:p>
        </w:tc>
        <w:tc>
          <w:tcPr>
            <w:tcW w:type="dxa" w:w="3000"/>
            <w:tcMar>
              <w:top w:type="dxa" w:w="60"/>
              <w:left w:type="dxa" w:w="100"/>
              <w:bottom w:type="dxa" w:w="60"/>
              <w:right w:type="dxa" w:w="100"/>
            </w:tcMar>
          </w:tcPr>
          <w:p>
            <w:pPr>
              <w:spacing w:after="60"/>
            </w:pPr>
            <w:r>
              <w:t xml:space="preserve">72</w:t>
            </w:r>
          </w:p>
        </w:tc>
        <w:tc>
          <w:tcPr>
            <w:tcW w:type="dxa" w:w="3000"/>
            <w:tcMar>
              <w:top w:type="dxa" w:w="60"/>
              <w:left w:type="dxa" w:w="100"/>
              <w:bottom w:type="dxa" w:w="60"/>
              <w:right w:type="dxa" w:w="100"/>
            </w:tcMar>
          </w:tcPr>
          <w:p>
            <w:pPr>
              <w:spacing w:after="60"/>
            </w:pPr>
            <w:r>
              <w:t xml:space="preserve"/>
            </w:r>
          </w:p>
        </w:tc>
      </w:tr>
      <w:tr>
        <w:tc>
          <w:tcPr>
            <w:tcW w:type="dxa" w:w="3000"/>
            <w:tcMar>
              <w:top w:type="dxa" w:w="60"/>
              <w:left w:type="dxa" w:w="100"/>
              <w:bottom w:type="dxa" w:w="60"/>
              <w:right w:type="dxa" w:w="100"/>
            </w:tcMar>
          </w:tcPr>
          <w:p>
            <w:pPr>
              <w:spacing w:after="60"/>
            </w:pPr>
            <w:r>
              <w:t xml:space="preserve">Standard (class/grade)</w:t>
            </w:r>
          </w:p>
        </w:tc>
        <w:tc>
          <w:tcPr>
            <w:tcW w:type="dxa" w:w="3000"/>
            <w:tcMar>
              <w:top w:type="dxa" w:w="60"/>
              <w:left w:type="dxa" w:w="100"/>
              <w:bottom w:type="dxa" w:w="60"/>
              <w:right w:type="dxa" w:w="100"/>
            </w:tcMar>
          </w:tcPr>
          <w:p>
            <w:pPr>
              <w:spacing w:after="60"/>
            </w:pPr>
            <w:r>
              <w:t xml:space="preserve">867</w:t>
            </w:r>
          </w:p>
        </w:tc>
        <w:tc>
          <w:tcPr>
            <w:tcW w:type="dxa" w:w="3000"/>
            <w:tcMar>
              <w:top w:type="dxa" w:w="60"/>
              <w:left w:type="dxa" w:w="100"/>
              <w:bottom w:type="dxa" w:w="60"/>
              <w:right w:type="dxa" w:w="100"/>
            </w:tcMar>
          </w:tcPr>
          <w:p>
            <w:pPr>
              <w:spacing w:after="60"/>
            </w:pPr>
            <w:r>
              <w:t xml:space="preserve"/>
            </w:r>
          </w:p>
        </w:tc>
      </w:tr>
      <w:tr>
        <w:tc>
          <w:tcPr>
            <w:tcW w:type="dxa" w:w="3000"/>
            <w:tcMar>
              <w:top w:type="dxa" w:w="60"/>
              <w:left w:type="dxa" w:w="100"/>
              <w:bottom w:type="dxa" w:w="60"/>
              <w:right w:type="dxa" w:w="100"/>
            </w:tcMar>
          </w:tcPr>
          <w:p>
            <w:pPr>
              <w:spacing w:after="60"/>
            </w:pPr>
            <w:r>
              <w:t xml:space="preserve">CurriculumOutcome</w:t>
            </w:r>
          </w:p>
        </w:tc>
        <w:tc>
          <w:tcPr>
            <w:tcW w:type="dxa" w:w="3000"/>
            <w:tcMar>
              <w:top w:type="dxa" w:w="60"/>
              <w:left w:type="dxa" w:w="100"/>
              <w:bottom w:type="dxa" w:w="60"/>
              <w:right w:type="dxa" w:w="100"/>
            </w:tcMar>
          </w:tcPr>
          <w:p>
            <w:pPr>
              <w:spacing w:after="60"/>
            </w:pPr>
            <w:r>
              <w:t xml:space="preserve">6,763</w:t>
            </w:r>
          </w:p>
        </w:tc>
        <w:tc>
          <w:tcPr>
            <w:tcW w:type="dxa" w:w="3000"/>
            <w:tcMar>
              <w:top w:type="dxa" w:w="60"/>
              <w:left w:type="dxa" w:w="100"/>
              <w:bottom w:type="dxa" w:w="60"/>
              <w:right w:type="dxa" w:w="100"/>
            </w:tcMar>
          </w:tcPr>
          <w:p>
            <w:pPr>
              <w:spacing w:after="60"/>
            </w:pPr>
            <w:r>
              <w:t xml:space="preserve"/>
            </w:r>
          </w:p>
        </w:tc>
      </w:tr>
      <w:tr>
        <w:tc>
          <w:tcPr>
            <w:tcW w:type="dxa" w:w="3000"/>
            <w:tcMar>
              <w:top w:type="dxa" w:w="60"/>
              <w:left w:type="dxa" w:w="100"/>
              <w:bottom w:type="dxa" w:w="60"/>
              <w:right w:type="dxa" w:w="100"/>
            </w:tcMar>
          </w:tcPr>
          <w:p>
            <w:pPr>
              <w:spacing w:after="60"/>
            </w:pPr>
            <w:r>
              <w:t xml:space="preserve">Misconception</w:t>
            </w:r>
          </w:p>
        </w:tc>
        <w:tc>
          <w:tcPr>
            <w:tcW w:type="dxa" w:w="3000"/>
            <w:tcMar>
              <w:top w:type="dxa" w:w="60"/>
              <w:left w:type="dxa" w:w="100"/>
              <w:bottom w:type="dxa" w:w="60"/>
              <w:right w:type="dxa" w:w="100"/>
            </w:tcMar>
          </w:tcPr>
          <w:p>
            <w:pPr>
              <w:spacing w:after="60"/>
            </w:pPr>
            <w:r>
              <w:t xml:space="preserve">3,664</w:t>
            </w:r>
          </w:p>
        </w:tc>
        <w:tc>
          <w:tcPr>
            <w:tcW w:type="dxa" w:w="3000"/>
            <w:tcMar>
              <w:top w:type="dxa" w:w="60"/>
              <w:left w:type="dxa" w:w="100"/>
              <w:bottom w:type="dxa" w:w="60"/>
              <w:right w:type="dxa" w:w="100"/>
            </w:tcMar>
          </w:tcPr>
          <w:p>
            <w:pPr>
              <w:spacing w:after="60"/>
            </w:pPr>
            <w:r>
              <w:t xml:space="preserve"/>
            </w:r>
          </w:p>
        </w:tc>
      </w:tr>
      <w:tr>
        <w:tc>
          <w:tcPr>
            <w:tcW w:type="dxa" w:w="3000"/>
            <w:tcMar>
              <w:top w:type="dxa" w:w="60"/>
              <w:left w:type="dxa" w:w="100"/>
              <w:bottom w:type="dxa" w:w="60"/>
              <w:right w:type="dxa" w:w="100"/>
            </w:tcMar>
          </w:tcPr>
          <w:p>
            <w:pPr>
              <w:spacing w:after="60"/>
            </w:pPr>
            <w:r>
              <w:t xml:space="preserve">ConceptNode (K/A/S sub-concepts)</w:t>
            </w:r>
          </w:p>
        </w:tc>
        <w:tc>
          <w:tcPr>
            <w:tcW w:type="dxa" w:w="3000"/>
            <w:tcMar>
              <w:top w:type="dxa" w:w="60"/>
              <w:left w:type="dxa" w:w="100"/>
              <w:bottom w:type="dxa" w:w="60"/>
              <w:right w:type="dxa" w:w="100"/>
            </w:tcMar>
          </w:tcPr>
          <w:p>
            <w:pPr>
              <w:spacing w:after="60"/>
            </w:pPr>
            <w:r>
              <w:t xml:space="preserve">1,617</w:t>
            </w:r>
          </w:p>
        </w:tc>
        <w:tc>
          <w:tcPr>
            <w:tcW w:type="dxa" w:w="3000"/>
            <w:tcMar>
              <w:top w:type="dxa" w:w="60"/>
              <w:left w:type="dxa" w:w="100"/>
              <w:bottom w:type="dxa" w:w="60"/>
              <w:right w:type="dxa" w:w="100"/>
            </w:tcMar>
          </w:tcPr>
          <w:p>
            <w:pPr>
              <w:spacing w:after="60"/>
            </w:pPr>
            <w:r>
              <w:t xml:space="preserve"/>
            </w:r>
          </w:p>
        </w:tc>
      </w:tr>
      <w:tr>
        <w:tc>
          <w:tcPr>
            <w:tcW w:type="dxa" w:w="3000"/>
            <w:tcMar>
              <w:top w:type="dxa" w:w="60"/>
              <w:left w:type="dxa" w:w="100"/>
              <w:bottom w:type="dxa" w:w="60"/>
              <w:right w:type="dxa" w:w="100"/>
            </w:tcMar>
          </w:tcPr>
          <w:p>
            <w:pPr>
              <w:spacing w:after="60"/>
            </w:pPr>
            <w:r>
              <w:t xml:space="preserve">Competency / CompetencyFramework</w:t>
            </w:r>
          </w:p>
        </w:tc>
        <w:tc>
          <w:tcPr>
            <w:tcW w:type="dxa" w:w="3000"/>
            <w:tcMar>
              <w:top w:type="dxa" w:w="60"/>
              <w:left w:type="dxa" w:w="100"/>
              <w:bottom w:type="dxa" w:w="60"/>
              <w:right w:type="dxa" w:w="100"/>
            </w:tcMar>
          </w:tcPr>
          <w:p>
            <w:pPr>
              <w:spacing w:after="60"/>
            </w:pPr>
            <w:r>
              <w:t xml:space="preserve">2 / 2</w:t>
            </w:r>
          </w:p>
        </w:tc>
        <w:tc>
          <w:tcPr>
            <w:tcW w:type="dxa" w:w="3000"/>
            <w:tcMar>
              <w:top w:type="dxa" w:w="60"/>
              <w:left w:type="dxa" w:w="100"/>
              <w:bottom w:type="dxa" w:w="60"/>
              <w:right w:type="dxa" w:w="100"/>
            </w:tcMar>
          </w:tcPr>
          <w:p>
            <w:pPr>
              <w:spacing w:after="60"/>
            </w:pPr>
            <w:r>
              <w:t xml:space="preserve">Brand-new, just seeded this audit cycle — see Section 11.</w:t>
            </w:r>
          </w:p>
        </w:tc>
      </w:tr>
    </w:tbl>
    <w:p>
      <w:pPr>
        <w:spacing w:after="120"/>
      </w:pPr>
    </w:p>
    <w:p>
      <w:pPr>
        <w:spacing w:after="40"/>
      </w:pPr>
      <w:r>
        <w:rPr>
          <w:b/>
          <w:bCs/>
        </w:rPr>
        <w:t xml:space="preserve">Curriculum-relevant relationship 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8" w:val="clear"/>
            <w:tcMar>
              <w:top w:type="dxa" w:w="60"/>
              <w:left w:type="dxa" w:w="100"/>
              <w:bottom w:type="dxa" w:w="60"/>
              <w:right w:type="dxa" w:w="100"/>
            </w:tcMar>
          </w:tcPr>
          <w:p>
            <w:pPr>
              <w:spacing w:after="60"/>
            </w:pPr>
            <w:r>
              <w:rPr>
                <w:b/>
                <w:bCs/>
                <w:color w:val="FFFFFF"/>
              </w:rPr>
              <w:t xml:space="preserve">Relationship</w:t>
            </w:r>
          </w:p>
        </w:tc>
        <w:tc>
          <w:tcPr>
            <w:tcW w:type="dxa" w:w="3000"/>
            <w:shd w:fill="1F4E78" w:val="clear"/>
            <w:tcMar>
              <w:top w:type="dxa" w:w="60"/>
              <w:left w:type="dxa" w:w="100"/>
              <w:bottom w:type="dxa" w:w="60"/>
              <w:right w:type="dxa" w:w="100"/>
            </w:tcMar>
          </w:tcPr>
          <w:p>
            <w:pPr>
              <w:spacing w:after="60"/>
            </w:pPr>
            <w:r>
              <w:rPr>
                <w:b/>
                <w:bCs/>
                <w:color w:val="FFFFFF"/>
              </w:rPr>
              <w:t xml:space="preserve">Count</w:t>
            </w:r>
          </w:p>
        </w:tc>
        <w:tc>
          <w:tcPr>
            <w:tcW w:type="dxa" w:w="3000"/>
            <w:shd w:fill="1F4E78" w:val="clear"/>
            <w:tcMar>
              <w:top w:type="dxa" w:w="60"/>
              <w:left w:type="dxa" w:w="100"/>
              <w:bottom w:type="dxa" w:w="60"/>
              <w:right w:type="dxa" w:w="100"/>
            </w:tcMar>
          </w:tcPr>
          <w:p>
            <w:pPr>
              <w:spacing w:after="60"/>
            </w:pPr>
            <w:r>
              <w:rPr>
                <w:b/>
                <w:bCs/>
                <w:color w:val="FFFFFF"/>
              </w:rPr>
              <w:t xml:space="preserve">Note</w:t>
            </w:r>
          </w:p>
        </w:tc>
      </w:tr>
      <w:tr>
        <w:tc>
          <w:tcPr>
            <w:tcW w:type="dxa" w:w="3000"/>
            <w:tcMar>
              <w:top w:type="dxa" w:w="60"/>
              <w:left w:type="dxa" w:w="100"/>
              <w:bottom w:type="dxa" w:w="60"/>
              <w:right w:type="dxa" w:w="100"/>
            </w:tcMar>
          </w:tcPr>
          <w:p>
            <w:pPr>
              <w:spacing w:after="60"/>
            </w:pPr>
            <w:r>
              <w:t xml:space="preserve">REQUIRES (prerequisite)</w:t>
            </w:r>
          </w:p>
        </w:tc>
        <w:tc>
          <w:tcPr>
            <w:tcW w:type="dxa" w:w="3000"/>
            <w:tcMar>
              <w:top w:type="dxa" w:w="60"/>
              <w:left w:type="dxa" w:w="100"/>
              <w:bottom w:type="dxa" w:w="60"/>
              <w:right w:type="dxa" w:w="100"/>
            </w:tcMar>
          </w:tcPr>
          <w:p>
            <w:pPr>
              <w:spacing w:after="60"/>
            </w:pPr>
            <w:r>
              <w:t xml:space="preserve">7,567</w:t>
            </w:r>
          </w:p>
        </w:tc>
        <w:tc>
          <w:tcPr>
            <w:tcW w:type="dxa" w:w="3000"/>
            <w:tcMar>
              <w:top w:type="dxa" w:w="60"/>
              <w:left w:type="dxa" w:w="100"/>
              <w:bottom w:type="dxa" w:w="60"/>
              <w:right w:type="dxa" w:w="100"/>
            </w:tcMar>
          </w:tcPr>
          <w:p>
            <w:pPr>
              <w:spacing w:after="60"/>
            </w:pPr>
            <w:r>
              <w:t xml:space="preserve">The edge the Adaptive Learning Engine actually traverses.</w:t>
            </w:r>
          </w:p>
        </w:tc>
      </w:tr>
      <w:tr>
        <w:tc>
          <w:tcPr>
            <w:tcW w:type="dxa" w:w="3000"/>
            <w:tcMar>
              <w:top w:type="dxa" w:w="60"/>
              <w:left w:type="dxa" w:w="100"/>
              <w:bottom w:type="dxa" w:w="60"/>
              <w:right w:type="dxa" w:w="100"/>
            </w:tcMar>
          </w:tcPr>
          <w:p>
            <w:pPr>
              <w:spacing w:after="60"/>
            </w:pPr>
            <w:r>
              <w:t xml:space="preserve">CROSS_LINKS</w:t>
            </w:r>
          </w:p>
        </w:tc>
        <w:tc>
          <w:tcPr>
            <w:tcW w:type="dxa" w:w="3000"/>
            <w:tcMar>
              <w:top w:type="dxa" w:w="60"/>
              <w:left w:type="dxa" w:w="100"/>
              <w:bottom w:type="dxa" w:w="60"/>
              <w:right w:type="dxa" w:w="100"/>
            </w:tcMar>
          </w:tcPr>
          <w:p>
            <w:pPr>
              <w:spacing w:after="60"/>
            </w:pPr>
            <w:r>
              <w:t xml:space="preserve">633</w:t>
            </w:r>
          </w:p>
        </w:tc>
        <w:tc>
          <w:tcPr>
            <w:tcW w:type="dxa" w:w="3000"/>
            <w:tcMar>
              <w:top w:type="dxa" w:w="60"/>
              <w:left w:type="dxa" w:w="100"/>
              <w:bottom w:type="dxa" w:w="60"/>
              <w:right w:type="dxa" w:w="100"/>
            </w:tcMar>
          </w:tcPr>
          <w:p>
            <w:pPr>
              <w:spacing w:after="60"/>
            </w:pPr>
            <w:r>
              <w:t xml:space="preserve"/>
            </w:r>
          </w:p>
        </w:tc>
      </w:tr>
      <w:tr>
        <w:tc>
          <w:tcPr>
            <w:tcW w:type="dxa" w:w="3000"/>
            <w:tcMar>
              <w:top w:type="dxa" w:w="60"/>
              <w:left w:type="dxa" w:w="100"/>
              <w:bottom w:type="dxa" w:w="60"/>
              <w:right w:type="dxa" w:w="100"/>
            </w:tcMar>
          </w:tcPr>
          <w:p>
            <w:pPr>
              <w:spacing w:after="60"/>
            </w:pPr>
            <w:r>
              <w:t xml:space="preserve">ASSESSES (Question → Concept)</w:t>
            </w:r>
          </w:p>
        </w:tc>
        <w:tc>
          <w:tcPr>
            <w:tcW w:type="dxa" w:w="3000"/>
            <w:tcMar>
              <w:top w:type="dxa" w:w="60"/>
              <w:left w:type="dxa" w:w="100"/>
              <w:bottom w:type="dxa" w:w="60"/>
              <w:right w:type="dxa" w:w="100"/>
            </w:tcMar>
          </w:tcPr>
          <w:p>
            <w:pPr>
              <w:spacing w:after="60"/>
            </w:pPr>
            <w:r>
              <w:t xml:space="preserve">36,410</w:t>
            </w:r>
          </w:p>
        </w:tc>
        <w:tc>
          <w:tcPr>
            <w:tcW w:type="dxa" w:w="3000"/>
            <w:tcMar>
              <w:top w:type="dxa" w:w="60"/>
              <w:left w:type="dxa" w:w="100"/>
              <w:bottom w:type="dxa" w:w="60"/>
              <w:right w:type="dxa" w:w="100"/>
            </w:tcMar>
          </w:tcPr>
          <w:p>
            <w:pPr>
              <w:spacing w:after="60"/>
            </w:pPr>
            <w:r>
              <w:t xml:space="preserve">Written by two pipelines; confirmed not conflicting (Section 9).</w:t>
            </w:r>
          </w:p>
        </w:tc>
      </w:tr>
      <w:tr>
        <w:tc>
          <w:tcPr>
            <w:tcW w:type="dxa" w:w="3000"/>
            <w:tcMar>
              <w:top w:type="dxa" w:w="60"/>
              <w:left w:type="dxa" w:w="100"/>
              <w:bottom w:type="dxa" w:w="60"/>
              <w:right w:type="dxa" w:w="100"/>
            </w:tcMar>
          </w:tcPr>
          <w:p>
            <w:pPr>
              <w:spacing w:after="60"/>
            </w:pPr>
            <w:r>
              <w:t xml:space="preserve">TEACHES (Content → Concept)</w:t>
            </w:r>
          </w:p>
        </w:tc>
        <w:tc>
          <w:tcPr>
            <w:tcW w:type="dxa" w:w="3000"/>
            <w:tcMar>
              <w:top w:type="dxa" w:w="60"/>
              <w:left w:type="dxa" w:w="100"/>
              <w:bottom w:type="dxa" w:w="60"/>
              <w:right w:type="dxa" w:w="100"/>
            </w:tcMar>
          </w:tcPr>
          <w:p>
            <w:pPr>
              <w:spacing w:after="60"/>
            </w:pPr>
            <w:r>
              <w:t xml:space="preserve">124</w:t>
            </w:r>
          </w:p>
        </w:tc>
        <w:tc>
          <w:tcPr>
            <w:tcW w:type="dxa" w:w="3000"/>
            <w:tcMar>
              <w:top w:type="dxa" w:w="60"/>
              <w:left w:type="dxa" w:w="100"/>
              <w:bottom w:type="dxa" w:w="60"/>
              <w:right w:type="dxa" w:w="100"/>
            </w:tcMar>
          </w:tcPr>
          <w:p>
            <w:pPr>
              <w:spacing w:after="60"/>
            </w:pPr>
            <w:r>
              <w:t xml:space="preserve">Sparse — most content is not yet tagged to a concept.</w:t>
            </w:r>
          </w:p>
        </w:tc>
      </w:tr>
      <w:tr>
        <w:tc>
          <w:tcPr>
            <w:tcW w:type="dxa" w:w="3000"/>
            <w:tcMar>
              <w:top w:type="dxa" w:w="60"/>
              <w:left w:type="dxa" w:w="100"/>
              <w:bottom w:type="dxa" w:w="60"/>
              <w:right w:type="dxa" w:w="100"/>
            </w:tcMar>
          </w:tcPr>
          <w:p>
            <w:pPr>
              <w:spacing w:after="60"/>
            </w:pPr>
            <w:r>
              <w:t xml:space="preserve">HAS_TOPIC</w:t>
            </w:r>
          </w:p>
        </w:tc>
        <w:tc>
          <w:tcPr>
            <w:tcW w:type="dxa" w:w="3000"/>
            <w:tcMar>
              <w:top w:type="dxa" w:w="60"/>
              <w:left w:type="dxa" w:w="100"/>
              <w:bottom w:type="dxa" w:w="60"/>
              <w:right w:type="dxa" w:w="100"/>
            </w:tcMar>
          </w:tcPr>
          <w:p>
            <w:pPr>
              <w:spacing w:after="60"/>
            </w:pPr>
            <w:r>
              <w:t xml:space="preserve">8,746</w:t>
            </w:r>
          </w:p>
        </w:tc>
        <w:tc>
          <w:tcPr>
            <w:tcW w:type="dxa" w:w="3000"/>
            <w:tcMar>
              <w:top w:type="dxa" w:w="60"/>
              <w:left w:type="dxa" w:w="100"/>
              <w:bottom w:type="dxa" w:w="60"/>
              <w:right w:type="dxa" w:w="100"/>
            </w:tcMar>
          </w:tcPr>
          <w:p>
            <w:pPr>
              <w:spacing w:after="60"/>
            </w:pPr>
            <w:r>
              <w:t xml:space="preserve"/>
            </w:r>
          </w:p>
        </w:tc>
      </w:tr>
      <w:tr>
        <w:tc>
          <w:tcPr>
            <w:tcW w:type="dxa" w:w="3000"/>
            <w:tcMar>
              <w:top w:type="dxa" w:w="60"/>
              <w:left w:type="dxa" w:w="100"/>
              <w:bottom w:type="dxa" w:w="60"/>
              <w:right w:type="dxa" w:w="100"/>
            </w:tcMar>
          </w:tcPr>
          <w:p>
            <w:pPr>
              <w:spacing w:after="60"/>
            </w:pPr>
            <w:r>
              <w:t xml:space="preserve">HAS_UNIT</w:t>
            </w:r>
          </w:p>
        </w:tc>
        <w:tc>
          <w:tcPr>
            <w:tcW w:type="dxa" w:w="3000"/>
            <w:tcMar>
              <w:top w:type="dxa" w:w="60"/>
              <w:left w:type="dxa" w:w="100"/>
              <w:bottom w:type="dxa" w:w="60"/>
              <w:right w:type="dxa" w:w="100"/>
            </w:tcMar>
          </w:tcPr>
          <w:p>
            <w:pPr>
              <w:spacing w:after="60"/>
            </w:pPr>
            <w:r>
              <w:t xml:space="preserve">66</w:t>
            </w:r>
          </w:p>
        </w:tc>
        <w:tc>
          <w:tcPr>
            <w:tcW w:type="dxa" w:w="3000"/>
            <w:tcMar>
              <w:top w:type="dxa" w:w="60"/>
              <w:left w:type="dxa" w:w="100"/>
              <w:bottom w:type="dxa" w:w="60"/>
              <w:right w:type="dxa" w:w="100"/>
            </w:tcMar>
          </w:tcPr>
          <w:p>
            <w:pPr>
              <w:spacing w:after="60"/>
            </w:pPr>
            <w:r>
              <w:t xml:space="preserve">Sparse relative to 194 Unit nodes — Units exist but are mostly disconnected from the map.</w:t>
            </w:r>
          </w:p>
        </w:tc>
      </w:tr>
      <w:tr>
        <w:tc>
          <w:tcPr>
            <w:tcW w:type="dxa" w:w="3000"/>
            <w:tcMar>
              <w:top w:type="dxa" w:w="60"/>
              <w:left w:type="dxa" w:w="100"/>
              <w:bottom w:type="dxa" w:w="60"/>
              <w:right w:type="dxa" w:w="100"/>
            </w:tcMar>
          </w:tcPr>
          <w:p>
            <w:pPr>
              <w:spacing w:after="60"/>
            </w:pPr>
            <w:r>
              <w:t xml:space="preserve">HAS_MASTERY (Student → Concept)</w:t>
            </w:r>
          </w:p>
        </w:tc>
        <w:tc>
          <w:tcPr>
            <w:tcW w:type="dxa" w:w="3000"/>
            <w:tcMar>
              <w:top w:type="dxa" w:w="60"/>
              <w:left w:type="dxa" w:w="100"/>
              <w:bottom w:type="dxa" w:w="60"/>
              <w:right w:type="dxa" w:w="100"/>
            </w:tcMar>
          </w:tcPr>
          <w:p>
            <w:pPr>
              <w:spacing w:after="60"/>
            </w:pPr>
            <w:r>
              <w:t xml:space="preserve">48</w:t>
            </w:r>
          </w:p>
        </w:tc>
        <w:tc>
          <w:tcPr>
            <w:tcW w:type="dxa" w:w="3000"/>
            <w:tcMar>
              <w:top w:type="dxa" w:w="60"/>
              <w:left w:type="dxa" w:w="100"/>
              <w:bottom w:type="dxa" w:w="60"/>
              <w:right w:type="dxa" w:w="100"/>
            </w:tcMar>
          </w:tcPr>
          <w:p>
            <w:pPr>
              <w:spacing w:after="60"/>
            </w:pPr>
            <w:r>
              <w:t xml:space="preserve">A new, still-early "safety net" sync; very early stage.</w:t>
            </w:r>
          </w:p>
        </w:tc>
      </w:tr>
      <w:tr>
        <w:tc>
          <w:tcPr>
            <w:tcW w:type="dxa" w:w="3000"/>
            <w:tcMar>
              <w:top w:type="dxa" w:w="60"/>
              <w:left w:type="dxa" w:w="100"/>
              <w:bottom w:type="dxa" w:w="60"/>
              <w:right w:type="dxa" w:w="100"/>
            </w:tcMar>
          </w:tcPr>
          <w:p>
            <w:pPr>
              <w:spacing w:after="60"/>
            </w:pPr>
            <w:r>
              <w:t xml:space="preserve">MASTERS (legacy)</w:t>
            </w:r>
          </w:p>
        </w:tc>
        <w:tc>
          <w:tcPr>
            <w:tcW w:type="dxa" w:w="3000"/>
            <w:tcMar>
              <w:top w:type="dxa" w:w="60"/>
              <w:left w:type="dxa" w:w="100"/>
              <w:bottom w:type="dxa" w:w="60"/>
              <w:right w:type="dxa" w:w="100"/>
            </w:tcMar>
          </w:tcPr>
          <w:p>
            <w:pPr>
              <w:spacing w:after="60"/>
            </w:pPr>
            <w:r>
              <w:t xml:space="preserve">4</w:t>
            </w:r>
          </w:p>
        </w:tc>
        <w:tc>
          <w:tcPr>
            <w:tcW w:type="dxa" w:w="3000"/>
            <w:tcMar>
              <w:top w:type="dxa" w:w="60"/>
              <w:left w:type="dxa" w:w="100"/>
              <w:bottom w:type="dxa" w:w="60"/>
              <w:right w:type="dxa" w:w="100"/>
            </w:tcMar>
          </w:tcPr>
          <w:p>
            <w:pPr>
              <w:spacing w:after="60"/>
            </w:pPr>
            <w:r>
              <w:t xml:space="preserve">Effectively dead — see Section 9.</w:t>
            </w:r>
          </w:p>
        </w:tc>
      </w:tr>
      <w:tr>
        <w:tc>
          <w:tcPr>
            <w:tcW w:type="dxa" w:w="3000"/>
            <w:tcMar>
              <w:top w:type="dxa" w:w="60"/>
              <w:left w:type="dxa" w:w="100"/>
              <w:bottom w:type="dxa" w:w="60"/>
              <w:right w:type="dxa" w:w="100"/>
            </w:tcMar>
          </w:tcPr>
          <w:p>
            <w:pPr>
              <w:spacing w:after="60"/>
            </w:pPr>
            <w:r>
              <w:t xml:space="preserve">MAPS_TO (framework → concept/occupation/exam/degree)</w:t>
            </w:r>
          </w:p>
        </w:tc>
        <w:tc>
          <w:tcPr>
            <w:tcW w:type="dxa" w:w="3000"/>
            <w:tcMar>
              <w:top w:type="dxa" w:w="60"/>
              <w:left w:type="dxa" w:w="100"/>
              <w:bottom w:type="dxa" w:w="60"/>
              <w:right w:type="dxa" w:w="100"/>
            </w:tcMar>
          </w:tcPr>
          <w:p>
            <w:pPr>
              <w:spacing w:after="60"/>
            </w:pPr>
            <w:r>
              <w:t xml:space="preserve">46</w:t>
            </w:r>
          </w:p>
        </w:tc>
        <w:tc>
          <w:tcPr>
            <w:tcW w:type="dxa" w:w="3000"/>
            <w:tcMar>
              <w:top w:type="dxa" w:w="60"/>
              <w:left w:type="dxa" w:w="100"/>
              <w:bottom w:type="dxa" w:w="60"/>
              <w:right w:type="dxa" w:w="100"/>
            </w:tcMar>
          </w:tcPr>
          <w:p>
            <w:pPr>
              <w:spacing w:after="60"/>
            </w:pPr>
            <w:r>
              <w:t xml:space="preserve">Framework-mapping feature, early stage (4 frameworks seeded).</w:t>
            </w:r>
          </w:p>
        </w:tc>
      </w:tr>
    </w:tbl>
    <w:p>
      <w:pPr>
        <w:spacing w:after="120"/>
      </w:pPr>
    </w:p>
    <w:p>
      <w:pPr>
        <w:spacing w:after="160"/>
      </w:pPr>
      <w:r>
        <w:rPr>
          <w:b/>
          <w:bCs/>
        </w:rPr>
        <w:t xml:space="preserve">Tenant isolation</w:t>
      </w:r>
      <w:r>
        <w:t xml:space="preserve">: confirmed correct. Every </w:t>
      </w:r>
      <w:r>
        <w:rPr>
          <w:rFonts w:ascii="Consolas" w:cs="Consolas" w:eastAsia="Consolas" w:hAnsi="Consolas"/>
        </w:rPr>
        <w:t xml:space="preserve">Concept</w:t>
      </w:r>
      <w:r>
        <w:t xml:space="preserve"> node belongs to one of exactly two institutes (sub-institute 1: 6,953 nodes; sub-institute 341: 812 nodes) — no cross-tenant leakage found, and the split matches the source database closely.</w:t>
      </w:r>
    </w:p>
    <w:p>
      <w:pPr>
        <w:spacing w:after="160"/>
      </w:pPr>
      <w:r>
        <w:rPr>
          <w:b/>
          <w:bCs/>
        </w:rPr>
        <w:t xml:space="preserve">Growth since the last live measurement</w:t>
      </w:r>
      <w:r>
        <w:t xml:space="preserve"> (2026-09-03, a prior internal check): node count grew from ~379,000 to 953,911, and relationships from ~931,000 to 2,946,479 — the graph is actively used and expanding, consistent with new pipelines (skills/talent data, engagement data, competency frameworks) added since then.</w:t>
      </w:r>
    </w:p>
    <w:p>
      <w:pPr>
        <w:pStyle w:val="Heading1"/>
        <w:spacing w:after="160" w:before="240"/>
      </w:pPr>
      <w:r>
        <w:t xml:space="preserve">6. Graph-Based Recommendation Workflow</w:t>
      </w:r>
    </w:p>
    <w:p>
      <w:pPr>
        <w:spacing w:after="160"/>
      </w:pPr>
      <w:r>
        <w:t xml:space="preserve">Tracing the path from a student's answers to what they're shown next:</w:t>
      </w:r>
    </w:p>
    <w:p>
      <w:pPr>
        <w:spacing w:after="160"/>
      </w:pPr>
      <w:r>
        <w:rPr>
          <w:b/>
          <w:bCs/>
        </w:rPr>
        <w:t xml:space="preserve">Step 1 — Diagnostic/exam answered.</w:t>
      </w:r>
      <w:r>
        <w:t xml:space="preserve"> Two parallel systems exist: the modern Adaptive Learning Engine (ESO) and an older exam/diagnostic flow. Both record the answer and score it in the main database (SQL), not the graph.</w:t>
      </w:r>
    </w:p>
    <w:p>
      <w:pPr>
        <w:spacing w:after="160"/>
      </w:pPr>
      <w:r>
        <w:rPr>
          <w:b/>
          <w:bCs/>
        </w:rPr>
        <w:t xml:space="preserve">Step 2 — "What is this student weak on?"</w:t>
      </w:r>
      <w:r>
        <w:t xml:space="preserve"> Three different parts of the system each compute this independently, with three different thresholds, all using SQL/the main database — this is a real inconsistency worth cleaning up (Section 11), though not a defect severe enough to block this report.</w:t>
      </w:r>
    </w:p>
    <w:p>
      <w:pPr>
        <w:spacing w:after="160"/>
      </w:pPr>
      <w:r>
        <w:rPr>
          <w:b/>
          <w:bCs/>
        </w:rPr>
        <w:t xml:space="preserve">Step 3 — Deciding what to do next.</w:t>
      </w:r>
      <w:r>
        <w:t xml:space="preserve"> This is where the Adaptive Learning Engine's graph use is genuine and currently active: when it needs to decide *why* a student is stuck, it asks Neo4j to walk the full chain of prerequisite relationships and find the deepest unmet concept — not just the immediate one, but the true root cause several steps back if needed. This is a real multi-step graph traversal that a single database lookup cannot replicate, and it is switched on in this environment today (confirmed via the live configuration, not just present in the code). If the graph is briefly unavailable, the system automatically falls back to a simpler single-step check in the main database rather than failing.</w:t>
      </w:r>
    </w:p>
    <w:p>
      <w:pPr>
        <w:spacing w:after="160"/>
      </w:pPr>
      <w:r>
        <w:rPr>
          <w:b/>
          <w:bCs/>
        </w:rPr>
        <w:t xml:space="preserve">Step 4 — What content is actually recommended to the student.</w:t>
      </w:r>
      <w:r>
        <w:t xml:space="preserve"> This is the part that is </w:t>
      </w:r>
      <w:r>
        <w:rPr>
          <w:b/>
          <w:bCs/>
        </w:rPr>
        <w:t xml:space="preserve">not</w:t>
      </w:r>
      <w:r>
        <w:t xml:space="preserve"> graph-driven. The ranked list shown on the "Suggested Content" screen is produced by scoring rules running against the main database (matching content to learning style, difficulty, and format). The graph's root-cause insight from Step 3 is attached to this screen as an additional, clearly-labeled note — it does not influence which content is ranked first. The developers' own code comment confirms this was a deliberate, scoped decision rather than an oversight: adding the graph signal as a visible note was judged safer than reshaping a heavily-used scoring system.</w:t>
      </w:r>
    </w:p>
    <w:p>
      <w:pPr>
        <w:spacing w:after="160"/>
      </w:pPr>
      <w:r>
        <w:rPr>
          <w:b/>
          <w:bCs/>
        </w:rPr>
        <w:t xml:space="preserve">Verdict:</w:t>
      </w:r>
      <w:r>
        <w:t xml:space="preserve"> real, partial use of the graph in recommendations — genuine for the "why is this student stuck" diagnosis inside the Adaptive Learning Engine, not yet used for the "what to show next" ranking most students actually see.</w:t>
      </w:r>
    </w:p>
    <w:p>
      <w:pPr>
        <w:pStyle w:val="Heading1"/>
        <w:spacing w:after="160" w:before="240"/>
      </w:pPr>
      <w:r>
        <w:t xml:space="preserve">7. Evidence and Test Results</w:t>
      </w:r>
    </w:p>
    <w:p>
      <w:pPr>
        <w:spacing w:after="160"/>
      </w:pPr>
      <w:r>
        <w:t xml:space="preserve">- </w:t>
      </w:r>
      <w:r>
        <w:rPr>
          <w:b/>
          <w:bCs/>
        </w:rPr>
        <w:t xml:space="preserve">Live Neo4j connectivity and counts</w:t>
      </w:r>
      <w:r>
        <w:t xml:space="preserve"> — see Section 5; raw output retained in the engineering session log, reproducible via the existing </w:t>
      </w:r>
      <w:r>
        <w:rPr>
          <w:rFonts w:ascii="Consolas" w:cs="Consolas" w:eastAsia="Consolas" w:hAnsi="Consolas"/>
        </w:rPr>
        <w:t xml:space="preserve">App\Services\Neo4jService</w:t>
      </w:r>
      <w:r>
        <w:t xml:space="preserve"> connection. - </w:t>
      </w:r>
      <w:r>
        <w:rPr>
          <w:b/>
          <w:bCs/>
        </w:rPr>
        <w:t xml:space="preserve">Tenant isolation cross-check</w:t>
      </w:r>
      <w:r>
        <w:t xml:space="preserve"> — Neo4j </w:t>
      </w:r>
      <w:r>
        <w:rPr>
          <w:rFonts w:ascii="Consolas" w:cs="Consolas" w:eastAsia="Consolas" w:hAnsi="Consolas"/>
        </w:rPr>
        <w:t xml:space="preserve">Concept</w:t>
      </w:r>
      <w:r>
        <w:t xml:space="preserve"> counts vs </w:t>
      </w:r>
      <w:r>
        <w:rPr>
          <w:rFonts w:ascii="Consolas" w:cs="Consolas" w:eastAsia="Consolas" w:hAnsi="Consolas"/>
        </w:rPr>
        <w:t xml:space="preserve">lms_concept</w:t>
      </w:r>
      <w:r>
        <w:t xml:space="preserve"> table counts, by institute, matched within &lt;1% (see Section 5), confirming the sync and the tenant scoping both work correctly for the one entity type spot-checked. - </w:t>
      </w:r>
      <w:r>
        <w:rPr>
          <w:b/>
          <w:bCs/>
        </w:rPr>
        <w:t xml:space="preserve">Route security check</w:t>
      </w:r>
      <w:r>
        <w:t xml:space="preserve"> — confirmed directly against the running application's route table (not just the source file) that the two previously-unprotected routes now carry the same session-authentication middleware as comparable routes. - </w:t>
      </w:r>
      <w:r>
        <w:rPr>
          <w:b/>
          <w:bCs/>
        </w:rPr>
        <w:t xml:space="preserve">Nightly sync fix</w:t>
      </w:r>
      <w:r>
        <w:t xml:space="preserve"> — the three newly-added update steps were confirmed to use the exact same function signatures already proven safe by the existing manual command, and a dry run against a real class/subject (class 43, a real subject, institute 1) completed without error, previewing 241 concepts, 21 prerequisite links, and 5,024 question-to-concept links ready to process for that one scope. - </w:t>
      </w:r>
      <w:r>
        <w:rPr>
          <w:b/>
          <w:bCs/>
        </w:rPr>
        <w:t xml:space="preserve">One verification step could not be completed</w:t>
      </w:r>
      <w:r>
        <w:t xml:space="preserve">: actually executing the three new sync steps live (beyond the dry run) to directly observe their effect was blocked by an automated safety control in this session that prevents live writes to production-pattern data stores without separate authorization. This is a safety control working as intended, not a defect — see Section 11 for the recommended next step (a maintainer or a session with that permission granted should run </w:t>
      </w:r>
      <w:r>
        <w:rPr>
          <w:rFonts w:ascii="Consolas" w:cs="Consolas" w:eastAsia="Consolas" w:hAnsi="Consolas"/>
        </w:rPr>
        <w:t xml:space="preserve">php artisan pal:coherence-sync --tenant=1 --standard=43 --subject=3975</w:t>
      </w:r>
      <w:r>
        <w:t xml:space="preserve"> for real, or simply wait for tonight's scheduled run and check the logs).</w:t>
      </w:r>
    </w:p>
    <w:p>
      <w:pPr>
        <w:pStyle w:val="Heading1"/>
        <w:spacing w:after="160" w:before="240"/>
      </w:pPr>
      <w:r>
        <w:t xml:space="preserve">8. Status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F4E78" w:val="clear"/>
            <w:tcMar>
              <w:top w:type="dxa" w:w="60"/>
              <w:left w:type="dxa" w:w="100"/>
              <w:bottom w:type="dxa" w:w="60"/>
              <w:right w:type="dxa" w:w="100"/>
            </w:tcMar>
          </w:tcPr>
          <w:p>
            <w:pPr>
              <w:spacing w:after="60"/>
            </w:pPr>
            <w:r>
              <w:rPr>
                <w:b/>
                <w:bCs/>
                <w:color w:val="FFFFFF"/>
              </w:rPr>
              <w:t xml:space="preserve">Feature</w:t>
            </w:r>
          </w:p>
        </w:tc>
        <w:tc>
          <w:tcPr>
            <w:tcW w:type="dxa" w:w="1500"/>
            <w:shd w:fill="1F4E78" w:val="clear"/>
            <w:tcMar>
              <w:top w:type="dxa" w:w="60"/>
              <w:left w:type="dxa" w:w="100"/>
              <w:bottom w:type="dxa" w:w="60"/>
              <w:right w:type="dxa" w:w="100"/>
            </w:tcMar>
          </w:tcPr>
          <w:p>
            <w:pPr>
              <w:spacing w:after="60"/>
            </w:pPr>
            <w:r>
              <w:rPr>
                <w:b/>
                <w:bCs/>
                <w:color w:val="FFFFFF"/>
              </w:rPr>
              <w:t xml:space="preserve">Where to View</w:t>
            </w:r>
          </w:p>
        </w:tc>
        <w:tc>
          <w:tcPr>
            <w:tcW w:type="dxa" w:w="1500"/>
            <w:shd w:fill="1F4E78" w:val="clear"/>
            <w:tcMar>
              <w:top w:type="dxa" w:w="60"/>
              <w:left w:type="dxa" w:w="100"/>
              <w:bottom w:type="dxa" w:w="60"/>
              <w:right w:type="dxa" w:w="100"/>
            </w:tcMar>
          </w:tcPr>
          <w:p>
            <w:pPr>
              <w:spacing w:after="60"/>
            </w:pPr>
            <w:r>
              <w:rPr>
                <w:b/>
                <w:bCs/>
                <w:color w:val="FFFFFF"/>
              </w:rPr>
              <w:t xml:space="preserve">Backend / API</w:t>
            </w:r>
          </w:p>
        </w:tc>
        <w:tc>
          <w:tcPr>
            <w:tcW w:type="dxa" w:w="1500"/>
            <w:shd w:fill="1F4E78" w:val="clear"/>
            <w:tcMar>
              <w:top w:type="dxa" w:w="60"/>
              <w:left w:type="dxa" w:w="100"/>
              <w:bottom w:type="dxa" w:w="60"/>
              <w:right w:type="dxa" w:w="100"/>
            </w:tcMar>
          </w:tcPr>
          <w:p>
            <w:pPr>
              <w:spacing w:after="60"/>
            </w:pPr>
            <w:r>
              <w:rPr>
                <w:b/>
                <w:bCs/>
                <w:color w:val="FFFFFF"/>
              </w:rPr>
              <w:t xml:space="preserve">Uses Neo4j?</w:t>
            </w:r>
          </w:p>
        </w:tc>
        <w:tc>
          <w:tcPr>
            <w:tcW w:type="dxa" w:w="1500"/>
            <w:shd w:fill="1F4E78" w:val="clear"/>
            <w:tcMar>
              <w:top w:type="dxa" w:w="60"/>
              <w:left w:type="dxa" w:w="100"/>
              <w:bottom w:type="dxa" w:w="60"/>
              <w:right w:type="dxa" w:w="100"/>
            </w:tcMar>
          </w:tcPr>
          <w:p>
            <w:pPr>
              <w:spacing w:after="60"/>
            </w:pPr>
            <w:r>
              <w:rPr>
                <w:b/>
                <w:bCs/>
                <w:color w:val="FFFFFF"/>
              </w:rPr>
              <w:t xml:space="preserve">Evidence</w:t>
            </w:r>
          </w:p>
        </w:tc>
        <w:tc>
          <w:tcPr>
            <w:tcW w:type="dxa" w:w="1500"/>
            <w:shd w:fill="1F4E78" w:val="clear"/>
            <w:tcMar>
              <w:top w:type="dxa" w:w="60"/>
              <w:left w:type="dxa" w:w="100"/>
              <w:bottom w:type="dxa" w:w="60"/>
              <w:right w:type="dxa" w:w="100"/>
            </w:tcMar>
          </w:tcPr>
          <w:p>
            <w:pPr>
              <w:spacing w:after="60"/>
            </w:pPr>
            <w:r>
              <w:rPr>
                <w:b/>
                <w:bCs/>
                <w:color w:val="FFFFFF"/>
              </w:rPr>
              <w:t xml:space="preserve">Status</w:t>
            </w:r>
          </w:p>
        </w:tc>
      </w:tr>
      <w:tr>
        <w:tc>
          <w:tcPr>
            <w:tcW w:type="dxa" w:w="1500"/>
            <w:tcMar>
              <w:top w:type="dxa" w:w="60"/>
              <w:left w:type="dxa" w:w="100"/>
              <w:bottom w:type="dxa" w:w="60"/>
              <w:right w:type="dxa" w:w="100"/>
            </w:tcMar>
          </w:tcPr>
          <w:p>
            <w:pPr>
              <w:spacing w:after="60"/>
            </w:pPr>
            <w:r>
              <w:t xml:space="preserve">PAL Coherence Map</w:t>
            </w:r>
          </w:p>
        </w:tc>
        <w:tc>
          <w:tcPr>
            <w:tcW w:type="dxa" w:w="1500"/>
            <w:tcMar>
              <w:top w:type="dxa" w:w="60"/>
              <w:left w:type="dxa" w:w="100"/>
              <w:bottom w:type="dxa" w:w="60"/>
              <w:right w:type="dxa" w:w="100"/>
            </w:tcMar>
          </w:tcPr>
          <w:p>
            <w:pPr>
              <w:spacing w:after="60"/>
            </w:pPr>
            <w:r>
              <w:rPr>
                <w:rFonts w:ascii="Consolas" w:cs="Consolas" w:eastAsia="Consolas" w:hAnsi="Consolas"/>
              </w:rPr>
              <w:t xml:space="preserve">/pal/new/coherence-map</w:t>
            </w:r>
            <w:r>
              <w:t xml:space="preserve"> (sidebar)</w:t>
            </w:r>
          </w:p>
        </w:tc>
        <w:tc>
          <w:tcPr>
            <w:tcW w:type="dxa" w:w="1500"/>
            <w:tcMar>
              <w:top w:type="dxa" w:w="60"/>
              <w:left w:type="dxa" w:w="100"/>
              <w:bottom w:type="dxa" w:w="60"/>
              <w:right w:type="dxa" w:w="100"/>
            </w:tcMar>
          </w:tcPr>
          <w:p>
            <w:pPr>
              <w:spacing w:after="60"/>
            </w:pPr>
            <w:r>
              <w:rPr>
                <w:rFonts w:ascii="Consolas" w:cs="Consolas" w:eastAsia="Consolas" w:hAnsi="Consolas"/>
              </w:rPr>
              <w:t xml:space="preserve">GET /api/pal/coherence/*</w:t>
            </w:r>
            <w:r>
              <w:t xml:space="preserve"> → </w:t>
            </w:r>
            <w:r>
              <w:rPr>
                <w:rFonts w:ascii="Consolas" w:cs="Consolas" w:eastAsia="Consolas" w:hAnsi="Consolas"/>
              </w:rPr>
              <w:t xml:space="preserve">CoherenceMapController</w:t>
            </w:r>
          </w:p>
        </w:tc>
        <w:tc>
          <w:tcPr>
            <w:tcW w:type="dxa" w:w="1500"/>
            <w:tcMar>
              <w:top w:type="dxa" w:w="60"/>
              <w:left w:type="dxa" w:w="100"/>
              <w:bottom w:type="dxa" w:w="60"/>
              <w:right w:type="dxa" w:w="100"/>
            </w:tcMar>
          </w:tcPr>
          <w:p>
            <w:pPr>
              <w:spacing w:after="60"/>
            </w:pPr>
            <w:r>
              <w:rPr>
                <w:b/>
                <w:bCs/>
              </w:rPr>
              <w:t xml:space="preserve">Yes</w:t>
            </w:r>
            <w:r>
              <w:t xml:space="preserve"> — reads Neo4j directly</w:t>
            </w:r>
          </w:p>
        </w:tc>
        <w:tc>
          <w:tcPr>
            <w:tcW w:type="dxa" w:w="1500"/>
            <w:tcMar>
              <w:top w:type="dxa" w:w="60"/>
              <w:left w:type="dxa" w:w="100"/>
              <w:bottom w:type="dxa" w:w="60"/>
              <w:right w:type="dxa" w:w="100"/>
            </w:tcMar>
          </w:tcPr>
          <w:p>
            <w:pPr>
              <w:spacing w:after="60"/>
            </w:pPr>
            <w:r>
              <w:t xml:space="preserve">Code + live counts (Section 5)</w:t>
            </w:r>
          </w:p>
        </w:tc>
        <w:tc>
          <w:tcPr>
            <w:tcW w:type="dxa" w:w="1500"/>
            <w:tcMar>
              <w:top w:type="dxa" w:w="60"/>
              <w:left w:type="dxa" w:w="100"/>
              <w:bottom w:type="dxa" w:w="60"/>
              <w:right w:type="dxa" w:w="100"/>
            </w:tcMar>
          </w:tcPr>
          <w:p>
            <w:pPr>
              <w:spacing w:after="60"/>
            </w:pPr>
            <w:r>
              <w:rPr>
                <w:b/>
                <w:bCs/>
              </w:rPr>
              <w:t xml:space="preserve">Working</w:t>
            </w:r>
            <w:r>
              <w:t xml:space="preserve"> (data quality caveat: edges are AI-drafted, not yet human-reviewed)</w:t>
            </w:r>
          </w:p>
        </w:tc>
      </w:tr>
      <w:tr>
        <w:tc>
          <w:tcPr>
            <w:tcW w:type="dxa" w:w="1500"/>
            <w:tcMar>
              <w:top w:type="dxa" w:w="60"/>
              <w:left w:type="dxa" w:w="100"/>
              <w:bottom w:type="dxa" w:w="60"/>
              <w:right w:type="dxa" w:w="100"/>
            </w:tcMar>
          </w:tcPr>
          <w:p>
            <w:pPr>
              <w:spacing w:after="60"/>
            </w:pPr>
            <w:r>
              <w:t xml:space="preserve">Course-Master Coherence View</w:t>
            </w:r>
          </w:p>
        </w:tc>
        <w:tc>
          <w:tcPr>
            <w:tcW w:type="dxa" w:w="1500"/>
            <w:tcMar>
              <w:top w:type="dxa" w:w="60"/>
              <w:left w:type="dxa" w:w="100"/>
              <w:bottom w:type="dxa" w:w="60"/>
              <w:right w:type="dxa" w:w="100"/>
            </w:tcMar>
          </w:tcPr>
          <w:p>
            <w:pPr>
              <w:spacing w:after="60"/>
            </w:pPr>
            <w:r>
              <w:t xml:space="preserve">Course Master → course → Chapters → "Coherence map" button</w:t>
            </w:r>
          </w:p>
        </w:tc>
        <w:tc>
          <w:tcPr>
            <w:tcW w:type="dxa" w:w="1500"/>
            <w:tcMar>
              <w:top w:type="dxa" w:w="60"/>
              <w:left w:type="dxa" w:w="100"/>
              <w:bottom w:type="dxa" w:w="60"/>
              <w:right w:type="dxa" w:w="100"/>
            </w:tcMar>
          </w:tcPr>
          <w:p>
            <w:pPr>
              <w:spacing w:after="60"/>
            </w:pPr>
            <w:r>
              <w:rPr>
                <w:rFonts w:ascii="Consolas" w:cs="Consolas" w:eastAsia="Consolas" w:hAnsi="Consolas"/>
              </w:rPr>
              <w:t xml:space="preserve">GET /api/lms/coherence-map</w:t>
            </w:r>
            <w:r>
              <w:t xml:space="preserve"> → </w:t>
            </w:r>
            <w:r>
              <w:rPr>
                <w:rFonts w:ascii="Consolas" w:cs="Consolas" w:eastAsia="Consolas" w:hAnsi="Consolas"/>
              </w:rPr>
              <w:t xml:space="preserve">CoherenceMapApiController</w:t>
            </w:r>
          </w:p>
        </w:tc>
        <w:tc>
          <w:tcPr>
            <w:tcW w:type="dxa" w:w="1500"/>
            <w:tcMar>
              <w:top w:type="dxa" w:w="60"/>
              <w:left w:type="dxa" w:w="100"/>
              <w:bottom w:type="dxa" w:w="60"/>
              <w:right w:type="dxa" w:w="100"/>
            </w:tcMar>
          </w:tcPr>
          <w:p>
            <w:pPr>
              <w:spacing w:after="60"/>
            </w:pPr>
            <w:r>
              <w:t xml:space="preserve">No — MariaDB by design</w:t>
            </w:r>
          </w:p>
        </w:tc>
        <w:tc>
          <w:tcPr>
            <w:tcW w:type="dxa" w:w="1500"/>
            <w:tcMar>
              <w:top w:type="dxa" w:w="60"/>
              <w:left w:type="dxa" w:w="100"/>
              <w:bottom w:type="dxa" w:w="60"/>
              <w:right w:type="dxa" w:w="100"/>
            </w:tcMar>
          </w:tcPr>
          <w:p>
            <w:pPr>
              <w:spacing w:after="60"/>
            </w:pPr>
            <w:r>
              <w:t xml:space="preserve">Code review, docblock (now corrected, Section 9)</w:t>
            </w:r>
          </w:p>
        </w:tc>
        <w:tc>
          <w:tcPr>
            <w:tcW w:type="dxa" w:w="1500"/>
            <w:tcMar>
              <w:top w:type="dxa" w:w="60"/>
              <w:left w:type="dxa" w:w="100"/>
              <w:bottom w:type="dxa" w:w="60"/>
              <w:right w:type="dxa" w:w="100"/>
            </w:tcMar>
          </w:tcPr>
          <w:p>
            <w:pPr>
              <w:spacing w:after="60"/>
            </w:pPr>
            <w:r>
              <w:rPr>
                <w:b/>
                <w:bCs/>
              </w:rPr>
              <w:t xml:space="preserve">Working</w:t>
            </w:r>
          </w:p>
        </w:tc>
      </w:tr>
      <w:tr>
        <w:tc>
          <w:tcPr>
            <w:tcW w:type="dxa" w:w="1500"/>
            <w:tcMar>
              <w:top w:type="dxa" w:w="60"/>
              <w:left w:type="dxa" w:w="100"/>
              <w:bottom w:type="dxa" w:w="60"/>
              <w:right w:type="dxa" w:w="100"/>
            </w:tcMar>
          </w:tcPr>
          <w:p>
            <w:pPr>
              <w:spacing w:after="60"/>
            </w:pPr>
            <w:r>
              <w:t xml:space="preserve">Capability Explorer</w:t>
            </w:r>
          </w:p>
        </w:tc>
        <w:tc>
          <w:tcPr>
            <w:tcW w:type="dxa" w:w="1500"/>
            <w:tcMar>
              <w:top w:type="dxa" w:w="60"/>
              <w:left w:type="dxa" w:w="100"/>
              <w:bottom w:type="dxa" w:w="60"/>
              <w:right w:type="dxa" w:w="100"/>
            </w:tcMar>
          </w:tcPr>
          <w:p>
            <w:pPr>
              <w:spacing w:after="60"/>
            </w:pPr>
            <w:r>
              <w:rPr>
                <w:rFonts w:ascii="Consolas" w:cs="Consolas" w:eastAsia="Consolas" w:hAnsi="Consolas"/>
              </w:rPr>
              <w:t xml:space="preserve">/capability-intelligence/capability-explorer</w:t>
            </w:r>
            <w:r>
              <w:t xml:space="preserve"> (sidebar)</w:t>
            </w:r>
          </w:p>
        </w:tc>
        <w:tc>
          <w:tcPr>
            <w:tcW w:type="dxa" w:w="1500"/>
            <w:tcMar>
              <w:top w:type="dxa" w:w="60"/>
              <w:left w:type="dxa" w:w="100"/>
              <w:bottom w:type="dxa" w:w="60"/>
              <w:right w:type="dxa" w:w="100"/>
            </w:tcMar>
          </w:tcPr>
          <w:p>
            <w:pPr>
              <w:spacing w:after="60"/>
            </w:pPr>
            <w:r>
              <w:rPr>
                <w:rFonts w:ascii="Consolas" w:cs="Consolas" w:eastAsia="Consolas" w:hAnsi="Consolas"/>
              </w:rPr>
              <w:t xml:space="preserve">GET /api/brain/{tenant}/graph</w:t>
            </w:r>
          </w:p>
        </w:tc>
        <w:tc>
          <w:tcPr>
            <w:tcW w:type="dxa" w:w="1500"/>
            <w:tcMar>
              <w:top w:type="dxa" w:w="60"/>
              <w:left w:type="dxa" w:w="100"/>
              <w:bottom w:type="dxa" w:w="60"/>
              <w:right w:type="dxa" w:w="100"/>
            </w:tcMar>
          </w:tcPr>
          <w:p>
            <w:pPr>
              <w:spacing w:after="60"/>
            </w:pPr>
            <w:r>
              <w:rPr>
                <w:b/>
                <w:bCs/>
              </w:rPr>
              <w:t xml:space="preserve">Yes</w:t>
            </w:r>
          </w:p>
        </w:tc>
        <w:tc>
          <w:tcPr>
            <w:tcW w:type="dxa" w:w="1500"/>
            <w:tcMar>
              <w:top w:type="dxa" w:w="60"/>
              <w:left w:type="dxa" w:w="100"/>
              <w:bottom w:type="dxa" w:w="60"/>
              <w:right w:type="dxa" w:w="100"/>
            </w:tcMar>
          </w:tcPr>
          <w:p>
            <w:pPr>
              <w:spacing w:after="60"/>
            </w:pPr>
            <w:r>
              <w:t xml:space="preserve">Code review; confirmed no longer a stub (was, as of 2026-09-30)</w:t>
            </w:r>
          </w:p>
        </w:tc>
        <w:tc>
          <w:tcPr>
            <w:tcW w:type="dxa" w:w="1500"/>
            <w:tcMar>
              <w:top w:type="dxa" w:w="60"/>
              <w:left w:type="dxa" w:w="100"/>
              <w:bottom w:type="dxa" w:w="60"/>
              <w:right w:type="dxa" w:w="100"/>
            </w:tcMar>
          </w:tcPr>
          <w:p>
            <w:pPr>
              <w:spacing w:after="60"/>
            </w:pPr>
            <w:r>
              <w:rPr>
                <w:b/>
                <w:bCs/>
              </w:rPr>
              <w:t xml:space="preserve">Working</w:t>
            </w:r>
          </w:p>
        </w:tc>
      </w:tr>
      <w:tr>
        <w:tc>
          <w:tcPr>
            <w:tcW w:type="dxa" w:w="1500"/>
            <w:tcMar>
              <w:top w:type="dxa" w:w="60"/>
              <w:left w:type="dxa" w:w="100"/>
              <w:bottom w:type="dxa" w:w="60"/>
              <w:right w:type="dxa" w:w="100"/>
            </w:tcMar>
          </w:tcPr>
          <w:p>
            <w:pPr>
              <w:spacing w:after="60"/>
            </w:pPr>
            <w:r>
              <w:t xml:space="preserve">Enterprise Brain Graph Explorer</w:t>
            </w:r>
          </w:p>
        </w:tc>
        <w:tc>
          <w:tcPr>
            <w:tcW w:type="dxa" w:w="1500"/>
            <w:tcMar>
              <w:top w:type="dxa" w:w="60"/>
              <w:left w:type="dxa" w:w="100"/>
              <w:bottom w:type="dxa" w:w="60"/>
              <w:right w:type="dxa" w:w="100"/>
            </w:tcMar>
          </w:tcPr>
          <w:p>
            <w:pPr>
              <w:spacing w:after="60"/>
            </w:pPr>
            <w:r>
              <w:t xml:space="preserve">Enterprise Brain home → "Explore" card (no sidebar entry)</w:t>
            </w:r>
          </w:p>
        </w:tc>
        <w:tc>
          <w:tcPr>
            <w:tcW w:type="dxa" w:w="1500"/>
            <w:tcMar>
              <w:top w:type="dxa" w:w="60"/>
              <w:left w:type="dxa" w:w="100"/>
              <w:bottom w:type="dxa" w:w="60"/>
              <w:right w:type="dxa" w:w="100"/>
            </w:tcMar>
          </w:tcPr>
          <w:p>
            <w:pPr>
              <w:spacing w:after="60"/>
            </w:pPr>
            <w:r>
              <w:rPr>
                <w:rFonts w:ascii="Consolas" w:cs="Consolas" w:eastAsia="Consolas" w:hAnsi="Consolas"/>
              </w:rPr>
              <w:t xml:space="preserve">GET /api/brain/{tenant}/graph</w:t>
            </w:r>
          </w:p>
        </w:tc>
        <w:tc>
          <w:tcPr>
            <w:tcW w:type="dxa" w:w="1500"/>
            <w:tcMar>
              <w:top w:type="dxa" w:w="60"/>
              <w:left w:type="dxa" w:w="100"/>
              <w:bottom w:type="dxa" w:w="60"/>
              <w:right w:type="dxa" w:w="100"/>
            </w:tcMar>
          </w:tcPr>
          <w:p>
            <w:pPr>
              <w:spacing w:after="60"/>
            </w:pPr>
            <w:r>
              <w:rPr>
                <w:b/>
                <w:bCs/>
              </w:rPr>
              <w:t xml:space="preserve">Yes</w:t>
            </w:r>
            <w:r>
              <w:t xml:space="preserve"> (org graph, not curriculum)</w:t>
            </w:r>
          </w:p>
        </w:tc>
        <w:tc>
          <w:tcPr>
            <w:tcW w:type="dxa" w:w="1500"/>
            <w:tcMar>
              <w:top w:type="dxa" w:w="60"/>
              <w:left w:type="dxa" w:w="100"/>
              <w:bottom w:type="dxa" w:w="60"/>
              <w:right w:type="dxa" w:w="100"/>
            </w:tcMar>
          </w:tcPr>
          <w:p>
            <w:pPr>
              <w:spacing w:after="60"/>
            </w:pPr>
            <w:r>
              <w:t xml:space="preserve">Code review</w:t>
            </w:r>
          </w:p>
        </w:tc>
        <w:tc>
          <w:tcPr>
            <w:tcW w:type="dxa" w:w="1500"/>
            <w:tcMar>
              <w:top w:type="dxa" w:w="60"/>
              <w:left w:type="dxa" w:w="100"/>
              <w:bottom w:type="dxa" w:w="60"/>
              <w:right w:type="dxa" w:w="100"/>
            </w:tcMar>
          </w:tcPr>
          <w:p>
            <w:pPr>
              <w:spacing w:after="60"/>
            </w:pPr>
            <w:r>
              <w:rPr>
                <w:b/>
                <w:bCs/>
              </w:rPr>
              <w:t xml:space="preserve">Working, under-exposed in navigation</w:t>
            </w:r>
          </w:p>
        </w:tc>
      </w:tr>
      <w:tr>
        <w:tc>
          <w:tcPr>
            <w:tcW w:type="dxa" w:w="1500"/>
            <w:tcMar>
              <w:top w:type="dxa" w:w="60"/>
              <w:left w:type="dxa" w:w="100"/>
              <w:bottom w:type="dxa" w:w="60"/>
              <w:right w:type="dxa" w:w="100"/>
            </w:tcMar>
          </w:tcPr>
          <w:p>
            <w:pPr>
              <w:spacing w:after="60"/>
            </w:pPr>
            <w:r>
              <w:t xml:space="preserve">Adaptive Learning Engine (ESO) — prerequisite diagnosis</w:t>
            </w:r>
          </w:p>
        </w:tc>
        <w:tc>
          <w:tcPr>
            <w:tcW w:type="dxa" w:w="1500"/>
            <w:tcMar>
              <w:top w:type="dxa" w:w="60"/>
              <w:left w:type="dxa" w:w="100"/>
              <w:bottom w:type="dxa" w:w="60"/>
              <w:right w:type="dxa" w:w="100"/>
            </w:tcMar>
          </w:tcPr>
          <w:p>
            <w:pPr>
              <w:spacing w:after="60"/>
            </w:pPr>
            <w:r>
              <w:rPr>
                <w:rFonts w:ascii="Consolas" w:cs="Consolas" w:eastAsia="Consolas" w:hAnsi="Consolas"/>
              </w:rPr>
              <w:t xml:space="preserve">/pal/eso</w:t>
            </w:r>
          </w:p>
        </w:tc>
        <w:tc>
          <w:tcPr>
            <w:tcW w:type="dxa" w:w="1500"/>
            <w:tcMar>
              <w:top w:type="dxa" w:w="60"/>
              <w:left w:type="dxa" w:w="100"/>
              <w:bottom w:type="dxa" w:w="60"/>
              <w:right w:type="dxa" w:w="100"/>
            </w:tcMar>
          </w:tcPr>
          <w:p>
            <w:pPr>
              <w:spacing w:after="60"/>
            </w:pPr>
            <w:r>
              <w:rPr>
                <w:rFonts w:ascii="Consolas" w:cs="Consolas" w:eastAsia="Consolas" w:hAnsi="Consolas"/>
              </w:rPr>
              <w:t xml:space="preserve">GET /api/pal/eso/next-action/...</w:t>
            </w:r>
          </w:p>
        </w:tc>
        <w:tc>
          <w:tcPr>
            <w:tcW w:type="dxa" w:w="1500"/>
            <w:tcMar>
              <w:top w:type="dxa" w:w="60"/>
              <w:left w:type="dxa" w:w="100"/>
              <w:bottom w:type="dxa" w:w="60"/>
              <w:right w:type="dxa" w:w="100"/>
            </w:tcMar>
          </w:tcPr>
          <w:p>
            <w:pPr>
              <w:spacing w:after="60"/>
            </w:pPr>
            <w:r>
              <w:rPr>
                <w:b/>
                <w:bCs/>
              </w:rPr>
              <w:t xml:space="preserve">Yes</w:t>
            </w:r>
            <w:r>
              <w:t xml:space="preserve">, conditionally — live in this environment</w:t>
            </w:r>
          </w:p>
        </w:tc>
        <w:tc>
          <w:tcPr>
            <w:tcW w:type="dxa" w:w="1500"/>
            <w:tcMar>
              <w:top w:type="dxa" w:w="60"/>
              <w:left w:type="dxa" w:w="100"/>
              <w:bottom w:type="dxa" w:w="60"/>
              <w:right w:type="dxa" w:w="100"/>
            </w:tcMar>
          </w:tcPr>
          <w:p>
            <w:pPr>
              <w:spacing w:after="60"/>
            </w:pPr>
            <w:r>
              <w:t xml:space="preserve">Code review + confirmed configuration flag</w:t>
            </w:r>
          </w:p>
        </w:tc>
        <w:tc>
          <w:tcPr>
            <w:tcW w:type="dxa" w:w="1500"/>
            <w:tcMar>
              <w:top w:type="dxa" w:w="60"/>
              <w:left w:type="dxa" w:w="100"/>
              <w:bottom w:type="dxa" w:w="60"/>
              <w:right w:type="dxa" w:w="100"/>
            </w:tcMar>
          </w:tcPr>
          <w:p>
            <w:pPr>
              <w:spacing w:after="60"/>
            </w:pPr>
            <w:r>
              <w:rPr>
                <w:b/>
                <w:bCs/>
              </w:rPr>
              <w:t xml:space="preserve">Working</w:t>
            </w:r>
          </w:p>
        </w:tc>
      </w:tr>
      <w:tr>
        <w:tc>
          <w:tcPr>
            <w:tcW w:type="dxa" w:w="1500"/>
            <w:tcMar>
              <w:top w:type="dxa" w:w="60"/>
              <w:left w:type="dxa" w:w="100"/>
              <w:bottom w:type="dxa" w:w="60"/>
              <w:right w:type="dxa" w:w="100"/>
            </w:tcMar>
          </w:tcPr>
          <w:p>
            <w:pPr>
              <w:spacing w:after="60"/>
            </w:pPr>
            <w:r>
              <w:t xml:space="preserve">Suggested Content (ranking shown to students)</w:t>
            </w:r>
          </w:p>
        </w:tc>
        <w:tc>
          <w:tcPr>
            <w:tcW w:type="dxa" w:w="1500"/>
            <w:tcMar>
              <w:top w:type="dxa" w:w="60"/>
              <w:left w:type="dxa" w:w="100"/>
              <w:bottom w:type="dxa" w:w="60"/>
              <w:right w:type="dxa" w:w="100"/>
            </w:tcMar>
          </w:tcPr>
          <w:p>
            <w:pPr>
              <w:spacing w:after="60"/>
            </w:pPr>
            <w:r>
              <w:rPr>
                <w:rFonts w:ascii="Consolas" w:cs="Consolas" w:eastAsia="Consolas" w:hAnsi="Consolas"/>
              </w:rPr>
              <w:t xml:space="preserve">/pal</w:t>
            </w:r>
            <w:r>
              <w:t xml:space="preserve"> and </w:t>
            </w:r>
            <w:r>
              <w:rPr>
                <w:rFonts w:ascii="Consolas" w:cs="Consolas" w:eastAsia="Consolas" w:hAnsi="Consolas"/>
              </w:rPr>
              <w:t xml:space="preserve">/pal/eso</w:t>
            </w:r>
          </w:p>
        </w:tc>
        <w:tc>
          <w:tcPr>
            <w:tcW w:type="dxa" w:w="1500"/>
            <w:tcMar>
              <w:top w:type="dxa" w:w="60"/>
              <w:left w:type="dxa" w:w="100"/>
              <w:bottom w:type="dxa" w:w="60"/>
              <w:right w:type="dxa" w:w="100"/>
            </w:tcMar>
          </w:tcPr>
          <w:p>
            <w:pPr>
              <w:spacing w:after="60"/>
            </w:pPr>
            <w:r>
              <w:rPr>
                <w:rFonts w:ascii="Consolas" w:cs="Consolas" w:eastAsia="Consolas" w:hAnsi="Consolas"/>
              </w:rPr>
              <w:t xml:space="preserve">GET /lms/pedagogy-suggested-content</w:t>
            </w:r>
            <w:r>
              <w:t xml:space="preserve">, </w:t>
            </w:r>
            <w:r>
              <w:rPr>
                <w:rFonts w:ascii="Consolas" w:cs="Consolas" w:eastAsia="Consolas" w:hAnsi="Consolas"/>
              </w:rPr>
              <w:t xml:space="preserve">GET /api/pal/eso/concept-mastery-details/...</w:t>
            </w:r>
          </w:p>
        </w:tc>
        <w:tc>
          <w:tcPr>
            <w:tcW w:type="dxa" w:w="1500"/>
            <w:tcMar>
              <w:top w:type="dxa" w:w="60"/>
              <w:left w:type="dxa" w:w="100"/>
              <w:bottom w:type="dxa" w:w="60"/>
              <w:right w:type="dxa" w:w="100"/>
            </w:tcMar>
          </w:tcPr>
          <w:p>
            <w:pPr>
              <w:spacing w:after="60"/>
            </w:pPr>
            <w:r>
              <w:t xml:space="preserve">No (graph data attached as a side-note only)</w:t>
            </w:r>
          </w:p>
        </w:tc>
        <w:tc>
          <w:tcPr>
            <w:tcW w:type="dxa" w:w="1500"/>
            <w:tcMar>
              <w:top w:type="dxa" w:w="60"/>
              <w:left w:type="dxa" w:w="100"/>
              <w:bottom w:type="dxa" w:w="60"/>
              <w:right w:type="dxa" w:w="100"/>
            </w:tcMar>
          </w:tcPr>
          <w:p>
            <w:pPr>
              <w:spacing w:after="60"/>
            </w:pPr>
            <w:r>
              <w:t xml:space="preserve">Code review</w:t>
            </w:r>
          </w:p>
        </w:tc>
        <w:tc>
          <w:tcPr>
            <w:tcW w:type="dxa" w:w="1500"/>
            <w:tcMar>
              <w:top w:type="dxa" w:w="60"/>
              <w:left w:type="dxa" w:w="100"/>
              <w:bottom w:type="dxa" w:w="60"/>
              <w:right w:type="dxa" w:w="100"/>
            </w:tcMar>
          </w:tcPr>
          <w:p>
            <w:pPr>
              <w:spacing w:after="60"/>
            </w:pPr>
            <w:r>
              <w:rPr>
                <w:b/>
                <w:bCs/>
              </w:rPr>
              <w:t xml:space="preserve">Working</w:t>
            </w:r>
            <w:r>
              <w:t xml:space="preserve">, SQL-ranked, graph signal cosmetic only</w:t>
            </w:r>
          </w:p>
        </w:tc>
      </w:tr>
      <w:tr>
        <w:tc>
          <w:tcPr>
            <w:tcW w:type="dxa" w:w="1500"/>
            <w:tcMar>
              <w:top w:type="dxa" w:w="60"/>
              <w:left w:type="dxa" w:w="100"/>
              <w:bottom w:type="dxa" w:w="60"/>
              <w:right w:type="dxa" w:w="100"/>
            </w:tcMar>
          </w:tcPr>
          <w:p>
            <w:pPr>
              <w:spacing w:after="60"/>
            </w:pPr>
            <w:r>
              <w:t xml:space="preserve">Student assessment/result graph reports (teacher-facing)</w:t>
            </w:r>
          </w:p>
        </w:tc>
        <w:tc>
          <w:tcPr>
            <w:tcW w:type="dxa" w:w="1500"/>
            <w:tcMar>
              <w:top w:type="dxa" w:w="60"/>
              <w:left w:type="dxa" w:w="100"/>
              <w:bottom w:type="dxa" w:w="60"/>
              <w:right w:type="dxa" w:w="100"/>
            </w:tcMar>
          </w:tcPr>
          <w:p>
            <w:pPr>
              <w:spacing w:after="60"/>
            </w:pPr>
            <w:r>
              <w:t xml:space="preserve">Backend API, teacher reporting</w:t>
            </w:r>
          </w:p>
        </w:tc>
        <w:tc>
          <w:tcPr>
            <w:tcW w:type="dxa" w:w="1500"/>
            <w:tcMar>
              <w:top w:type="dxa" w:w="60"/>
              <w:left w:type="dxa" w:w="100"/>
              <w:bottom w:type="dxa" w:w="60"/>
              <w:right w:type="dxa" w:w="100"/>
            </w:tcMar>
          </w:tcPr>
          <w:p>
            <w:pPr>
              <w:spacing w:after="60"/>
            </w:pPr>
            <w:r>
              <w:rPr>
                <w:rFonts w:ascii="Consolas" w:cs="Consolas" w:eastAsia="Consolas" w:hAnsi="Consolas"/>
              </w:rPr>
              <w:t xml:space="preserve">/student-assessment</w:t>
            </w:r>
            <w:r>
              <w:t xml:space="preserve">, </w:t>
            </w:r>
            <w:r>
              <w:rPr>
                <w:rFonts w:ascii="Consolas" w:cs="Consolas" w:eastAsia="Consolas" w:hAnsi="Consolas"/>
              </w:rPr>
              <w:t xml:space="preserve">/student-results/{id}/graph</w:t>
            </w:r>
          </w:p>
        </w:tc>
        <w:tc>
          <w:tcPr>
            <w:tcW w:type="dxa" w:w="1500"/>
            <w:tcMar>
              <w:top w:type="dxa" w:w="60"/>
              <w:left w:type="dxa" w:w="100"/>
              <w:bottom w:type="dxa" w:w="60"/>
              <w:right w:type="dxa" w:w="100"/>
            </w:tcMar>
          </w:tcPr>
          <w:p>
            <w:pPr>
              <w:spacing w:after="60"/>
            </w:pPr>
            <w:r>
              <w:t xml:space="preserve">Yes</w:t>
            </w:r>
          </w:p>
        </w:tc>
        <w:tc>
          <w:tcPr>
            <w:tcW w:type="dxa" w:w="1500"/>
            <w:tcMar>
              <w:top w:type="dxa" w:w="60"/>
              <w:left w:type="dxa" w:w="100"/>
              <w:bottom w:type="dxa" w:w="60"/>
              <w:right w:type="dxa" w:w="100"/>
            </w:tcMar>
          </w:tcPr>
          <w:p>
            <w:pPr>
              <w:spacing w:after="60"/>
            </w:pPr>
            <w:r>
              <w:t xml:space="preserve">Code review; both were rebuilt 2026-10-10 after being found broken</w:t>
            </w:r>
          </w:p>
        </w:tc>
        <w:tc>
          <w:tcPr>
            <w:tcW w:type="dxa" w:w="1500"/>
            <w:tcMar>
              <w:top w:type="dxa" w:w="60"/>
              <w:left w:type="dxa" w:w="100"/>
              <w:bottom w:type="dxa" w:w="60"/>
              <w:right w:type="dxa" w:w="100"/>
            </w:tcMar>
          </w:tcPr>
          <w:p>
            <w:pPr>
              <w:spacing w:after="60"/>
            </w:pPr>
            <w:r>
              <w:rPr>
                <w:b/>
                <w:bCs/>
              </w:rPr>
              <w:t xml:space="preserve">Fixed today</w:t>
            </w:r>
            <w:r>
              <w:t xml:space="preserve"> (auth gap) — see Section 10</w:t>
            </w:r>
          </w:p>
        </w:tc>
      </w:tr>
      <w:tr>
        <w:tc>
          <w:tcPr>
            <w:tcW w:type="dxa" w:w="1500"/>
            <w:tcMar>
              <w:top w:type="dxa" w:w="60"/>
              <w:left w:type="dxa" w:w="100"/>
              <w:bottom w:type="dxa" w:w="60"/>
              <w:right w:type="dxa" w:w="100"/>
            </w:tcMar>
          </w:tcPr>
          <w:p>
            <w:pPr>
              <w:spacing w:after="60"/>
            </w:pPr>
            <w:r>
              <w:t xml:space="preserve">Nightly Coherence sync</w:t>
            </w:r>
          </w:p>
        </w:tc>
        <w:tc>
          <w:tcPr>
            <w:tcW w:type="dxa" w:w="1500"/>
            <w:tcMar>
              <w:top w:type="dxa" w:w="60"/>
              <w:left w:type="dxa" w:w="100"/>
              <w:bottom w:type="dxa" w:w="60"/>
              <w:right w:type="dxa" w:w="100"/>
            </w:tcMar>
          </w:tcPr>
          <w:p>
            <w:pPr>
              <w:spacing w:after="60"/>
            </w:pPr>
            <w:r>
              <w:t xml:space="preserve">N/A (scheduled job)</w:t>
            </w:r>
          </w:p>
        </w:tc>
        <w:tc>
          <w:tcPr>
            <w:tcW w:type="dxa" w:w="1500"/>
            <w:tcMar>
              <w:top w:type="dxa" w:w="60"/>
              <w:left w:type="dxa" w:w="100"/>
              <w:bottom w:type="dxa" w:w="60"/>
              <w:right w:type="dxa" w:w="100"/>
            </w:tcMar>
          </w:tcPr>
          <w:p>
            <w:pPr>
              <w:spacing w:after="60"/>
            </w:pPr>
            <w:r>
              <w:rPr>
                <w:rFonts w:ascii="Consolas" w:cs="Consolas" w:eastAsia="Consolas" w:hAnsi="Consolas"/>
              </w:rPr>
              <w:t xml:space="preserve">app/Console/Kernel.php</w:t>
            </w:r>
          </w:p>
        </w:tc>
        <w:tc>
          <w:tcPr>
            <w:tcW w:type="dxa" w:w="1500"/>
            <w:tcMar>
              <w:top w:type="dxa" w:w="60"/>
              <w:left w:type="dxa" w:w="100"/>
              <w:bottom w:type="dxa" w:w="60"/>
              <w:right w:type="dxa" w:w="100"/>
            </w:tcMar>
          </w:tcPr>
          <w:p>
            <w:pPr>
              <w:spacing w:after="60"/>
            </w:pPr>
            <w:r>
              <w:t xml:space="preserve">Yes (writes)</w:t>
            </w:r>
          </w:p>
        </w:tc>
        <w:tc>
          <w:tcPr>
            <w:tcW w:type="dxa" w:w="1500"/>
            <w:tcMar>
              <w:top w:type="dxa" w:w="60"/>
              <w:left w:type="dxa" w:w="100"/>
              <w:bottom w:type="dxa" w:w="60"/>
              <w:right w:type="dxa" w:w="100"/>
            </w:tcMar>
          </w:tcPr>
          <w:p>
            <w:pPr>
              <w:spacing w:after="60"/>
            </w:pPr>
            <w:r>
              <w:t xml:space="preserve">Code review + dry-run test</w:t>
            </w:r>
          </w:p>
        </w:tc>
        <w:tc>
          <w:tcPr>
            <w:tcW w:type="dxa" w:w="1500"/>
            <w:tcMar>
              <w:top w:type="dxa" w:w="60"/>
              <w:left w:type="dxa" w:w="100"/>
              <w:bottom w:type="dxa" w:w="60"/>
              <w:right w:type="dxa" w:w="100"/>
            </w:tcMar>
          </w:tcPr>
          <w:p>
            <w:pPr>
              <w:spacing w:after="60"/>
            </w:pPr>
            <w:r>
              <w:rPr>
                <w:b/>
                <w:bCs/>
              </w:rPr>
              <w:t xml:space="preserve">Fixed today</w:t>
            </w:r>
            <w:r>
              <w:t xml:space="preserve"> (was missing 3 of 12 steps)</w:t>
            </w:r>
          </w:p>
        </w:tc>
      </w:tr>
      <w:tr>
        <w:tc>
          <w:tcPr>
            <w:tcW w:type="dxa" w:w="1500"/>
            <w:tcMar>
              <w:top w:type="dxa" w:w="60"/>
              <w:left w:type="dxa" w:w="100"/>
              <w:bottom w:type="dxa" w:w="60"/>
              <w:right w:type="dxa" w:w="100"/>
            </w:tcMar>
          </w:tcPr>
          <w:p>
            <w:pPr>
              <w:spacing w:after="60"/>
            </w:pPr>
            <w:r>
              <w:t xml:space="preserve">Framework/Competency graph mapping</w:t>
            </w:r>
          </w:p>
        </w:tc>
        <w:tc>
          <w:tcPr>
            <w:tcW w:type="dxa" w:w="1500"/>
            <w:tcMar>
              <w:top w:type="dxa" w:w="60"/>
              <w:left w:type="dxa" w:w="100"/>
              <w:bottom w:type="dxa" w:w="60"/>
              <w:right w:type="dxa" w:w="100"/>
            </w:tcMar>
          </w:tcPr>
          <w:p>
            <w:pPr>
              <w:spacing w:after="60"/>
            </w:pPr>
            <w:r>
              <w:t xml:space="preserve">Framework catalog (backend)</w:t>
            </w:r>
          </w:p>
        </w:tc>
        <w:tc>
          <w:tcPr>
            <w:tcW w:type="dxa" w:w="1500"/>
            <w:tcMar>
              <w:top w:type="dxa" w:w="60"/>
              <w:left w:type="dxa" w:w="100"/>
              <w:bottom w:type="dxa" w:w="60"/>
              <w:right w:type="dxa" w:w="100"/>
            </w:tcMar>
          </w:tcPr>
          <w:p>
            <w:pPr>
              <w:spacing w:after="60"/>
            </w:pPr>
            <w:r>
              <w:rPr>
                <w:rFonts w:ascii="Consolas" w:cs="Consolas" w:eastAsia="Consolas" w:hAnsi="Consolas"/>
              </w:rPr>
              <w:t xml:space="preserve">FrameworkCatalogService::graphMappings()</w:t>
            </w:r>
          </w:p>
        </w:tc>
        <w:tc>
          <w:tcPr>
            <w:tcW w:type="dxa" w:w="1500"/>
            <w:tcMar>
              <w:top w:type="dxa" w:w="60"/>
              <w:left w:type="dxa" w:w="100"/>
              <w:bottom w:type="dxa" w:w="60"/>
              <w:right w:type="dxa" w:w="100"/>
            </w:tcMar>
          </w:tcPr>
          <w:p>
            <w:pPr>
              <w:spacing w:after="60"/>
            </w:pPr>
            <w:r>
              <w:t xml:space="preserve">Yes</w:t>
            </w:r>
          </w:p>
        </w:tc>
        <w:tc>
          <w:tcPr>
            <w:tcW w:type="dxa" w:w="1500"/>
            <w:tcMar>
              <w:top w:type="dxa" w:w="60"/>
              <w:left w:type="dxa" w:w="100"/>
              <w:bottom w:type="dxa" w:w="60"/>
              <w:right w:type="dxa" w:w="100"/>
            </w:tcMar>
          </w:tcPr>
          <w:p>
            <w:pPr>
              <w:spacing w:after="60"/>
            </w:pPr>
            <w:r>
              <w:t xml:space="preserve">Code review + live counts</w:t>
            </w:r>
          </w:p>
        </w:tc>
        <w:tc>
          <w:tcPr>
            <w:tcW w:type="dxa" w:w="1500"/>
            <w:tcMar>
              <w:top w:type="dxa" w:w="60"/>
              <w:left w:type="dxa" w:w="100"/>
              <w:bottom w:type="dxa" w:w="60"/>
              <w:right w:type="dxa" w:w="100"/>
            </w:tcMar>
          </w:tcPr>
          <w:p>
            <w:pPr>
              <w:spacing w:after="60"/>
            </w:pPr>
            <w:r>
              <w:rPr>
                <w:b/>
                <w:bCs/>
              </w:rPr>
              <w:t xml:space="preserve">Early stage</w:t>
            </w:r>
            <w:r>
              <w:t xml:space="preserve"> — only seed data present (2 competencies, 4 frameworks)</w:t>
            </w:r>
          </w:p>
        </w:tc>
      </w:tr>
    </w:tbl>
    <w:p>
      <w:pPr>
        <w:spacing w:after="120"/>
      </w:pPr>
    </w:p>
    <w:p>
      <w:pPr>
        <w:pStyle w:val="Heading1"/>
        <w:spacing w:after="160" w:before="240"/>
      </w:pPr>
      <w:r>
        <w:t xml:space="preserve">9. Issues, Root Causes and Risks</w:t>
      </w:r>
    </w:p>
    <w:p>
      <w:pPr>
        <w:spacing w:after="160"/>
      </w:pPr>
      <w:r>
        <w:rPr>
          <w:b/>
          <w:bCs/>
        </w:rPr>
        <w:t xml:space="preserve">Issue A — Two unauthenticated API endpoints returning student data.</w:t>
      </w:r>
      <w:r>
        <w:t xml:space="preserve"> </w:t>
      </w:r>
      <w:r>
        <w:rPr>
          <w:rFonts w:ascii="Consolas" w:cs="Consolas" w:eastAsia="Consolas" w:hAnsi="Consolas"/>
        </w:rPr>
        <w:t xml:space="preserve">routes/api.php</w:t>
      </w:r>
      <w:r>
        <w:t xml:space="preserve"> declared </w:t>
      </w:r>
      <w:r>
        <w:rPr>
          <w:rFonts w:ascii="Consolas" w:cs="Consolas" w:eastAsia="Consolas" w:hAnsi="Consolas"/>
        </w:rPr>
        <w:t xml:space="preserve">/student-assessment</w:t>
      </w:r>
      <w:r>
        <w:t xml:space="preserve"> and </w:t>
      </w:r>
      <w:r>
        <w:rPr>
          <w:rFonts w:ascii="Consolas" w:cs="Consolas" w:eastAsia="Consolas" w:hAnsi="Consolas"/>
        </w:rPr>
        <w:t xml:space="preserve">/student-results/{stuId}/graph</w:t>
      </w:r>
      <w:r>
        <w:t xml:space="preserve"> with no login requirement at all, unlike every comparable route in the system. Root cause: both were added directly to the file without being placed inside the standard authenticated route group used elsewhere. Risk: any caller who knew or guessed a valid student ID could retrieve that student's assessment/result data without logging in. </w:t>
      </w:r>
      <w:r>
        <w:rPr>
          <w:b/>
          <w:bCs/>
        </w:rPr>
        <w:t xml:space="preserve">Fixed today</w:t>
      </w:r>
      <w:r>
        <w:t xml:space="preserve"> — see Section 10.</w:t>
      </w:r>
    </w:p>
    <w:p>
      <w:pPr>
        <w:spacing w:after="160"/>
      </w:pPr>
      <w:r>
        <w:rPr>
          <w:b/>
          <w:bCs/>
        </w:rPr>
        <w:t xml:space="preserve">Issue B — Nightly automatic sync silently narrower than the manual one.</w:t>
      </w:r>
      <w:r>
        <w:t xml:space="preserve"> The scheduled nightly job that keeps the Coherence Map graph fresh was calling 9 of the 12 available update steps, omitting topic linkage, chapter-content enrichment, and exam-level concept coverage — all three of which the manual command already included. Root cause: the nightly job was added as its own closure rather than calling the existing command, and wasn't kept in lockstep when three new steps were added to the command later. Risk: low severity, but real — anyone relying on the nightly job alone would have gradually drifting data for those three signals. </w:t>
      </w:r>
      <w:r>
        <w:rPr>
          <w:b/>
          <w:bCs/>
        </w:rPr>
        <w:t xml:space="preserve">Fixed today.</w:t>
      </w:r>
    </w:p>
    <w:p>
      <w:pPr>
        <w:spacing w:after="160"/>
      </w:pPr>
      <w:r>
        <w:rPr>
          <w:b/>
          <w:bCs/>
        </w:rPr>
        <w:t xml:space="preserve">Issue C — Two pipelines write the same relationship type.</w:t>
      </w:r>
      <w:r>
        <w:t xml:space="preserve"> Both the live outbox and the PAL Coherence projection write </w:t>
      </w:r>
      <w:r>
        <w:rPr>
          <w:rFonts w:ascii="Consolas" w:cs="Consolas" w:eastAsia="Consolas" w:hAnsi="Consolas"/>
        </w:rPr>
        <w:t xml:space="preserve">Question —ASSESSES→ Concept</w:t>
      </w:r>
      <w:r>
        <w:t xml:space="preserve">, from two different source columns. This looked, on paper, like it could cause one pipeline to silently erase the other's work. On inspection, this is </w:t>
      </w:r>
      <w:r>
        <w:rPr>
          <w:b/>
          <w:bCs/>
        </w:rPr>
        <w:t xml:space="preserve">not actually happening</w:t>
      </w:r>
      <w:r>
        <w:t xml:space="preserve">: the code carries an explicit safeguard that scopes each pipeline's cleanup logic to only the edges it itself manages, and a dedicated audit command investigated this exact scenario on 2026-09-28 and confirmed zero conflicts (32,302 of today's 36,410 edges belong to one pipeline, 26 to the other, with no overlap). No fix needed; documented here because it is easy to misread as a bug from the code alone.</w:t>
      </w:r>
    </w:p>
    <w:p>
      <w:pPr>
        <w:spacing w:after="160"/>
      </w:pPr>
      <w:r>
        <w:rPr>
          <w:b/>
          <w:bCs/>
        </w:rPr>
        <w:t xml:space="preserve">Issue D — Two stale code comments.</w:t>
      </w:r>
      <w:r>
        <w:t xml:space="preserve"> Two files stated "Neo4j has no Unit and no Topic" as a justification for reading the authoring database directly instead of the graph. Live data shows Topic is now well populated (16,158 nodes). </w:t>
      </w:r>
      <w:r>
        <w:rPr>
          <w:b/>
          <w:bCs/>
        </w:rPr>
        <w:t xml:space="preserve">Fixed today</w:t>
      </w:r>
      <w:r>
        <w:t xml:space="preserve"> — the comments now reflect the current, verified state (Topic exists; Unit still doesn't meaningfully participate in this particular map).</w:t>
      </w:r>
    </w:p>
    <w:p>
      <w:pPr>
        <w:spacing w:after="160"/>
      </w:pPr>
      <w:r>
        <w:rPr>
          <w:b/>
          <w:bCs/>
        </w:rPr>
        <w:t xml:space="preserve">Issue E — Sample/placeholder content shown when nothing is authored yet.</w:t>
      </w:r>
      <w:r>
        <w:t xml:space="preserve"> The newer "Suggested Content" tab on the Adaptive Learning page falls back to four pieces of clearly-labeled sample content when a chapter has no real authored material yet. This is handled honestly — the student sees an explicit "sample content" notice, not a silent substitution — but it is a content-authoring gap, not a bug. Recommendation only (Section 11).</w:t>
      </w:r>
    </w:p>
    <w:p>
      <w:pPr>
        <w:spacing w:after="160"/>
      </w:pPr>
      <w:r>
        <w:rPr>
          <w:b/>
          <w:bCs/>
        </w:rPr>
        <w:t xml:space="preserve">Issue F — Navigation gaps.</w:t>
      </w:r>
      <w:r>
        <w:t xml:space="preserve"> Several screens (Enterprise Brain's knowledge sub-pages, four of New PAL's seven real sub-modules) have no clear path to them from the main navigation. Low risk, but a real usability/discoverability gap. Recommendation only (Section 11).</w:t>
      </w:r>
    </w:p>
    <w:p>
      <w:pPr>
        <w:pStyle w:val="Heading1"/>
        <w:spacing w:after="160" w:before="240"/>
      </w:pPr>
      <w:r>
        <w:t xml:space="preserve">10. Fixes Completed Today and Verification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1F4E78" w:val="clear"/>
            <w:tcMar>
              <w:top w:type="dxa" w:w="60"/>
              <w:left w:type="dxa" w:w="100"/>
              <w:bottom w:type="dxa" w:w="60"/>
              <w:right w:type="dxa" w:w="100"/>
            </w:tcMar>
          </w:tcPr>
          <w:p>
            <w:pPr>
              <w:spacing w:after="60"/>
            </w:pPr>
            <w:r>
              <w:rPr>
                <w:b/>
                <w:bCs/>
                <w:color w:val="FFFFFF"/>
              </w:rPr>
              <w:t xml:space="preserve">#</w:t>
            </w:r>
          </w:p>
        </w:tc>
        <w:tc>
          <w:tcPr>
            <w:tcW w:type="dxa" w:w="1800"/>
            <w:shd w:fill="1F4E78" w:val="clear"/>
            <w:tcMar>
              <w:top w:type="dxa" w:w="60"/>
              <w:left w:type="dxa" w:w="100"/>
              <w:bottom w:type="dxa" w:w="60"/>
              <w:right w:type="dxa" w:w="100"/>
            </w:tcMar>
          </w:tcPr>
          <w:p>
            <w:pPr>
              <w:spacing w:after="60"/>
            </w:pPr>
            <w:r>
              <w:rPr>
                <w:b/>
                <w:bCs/>
                <w:color w:val="FFFFFF"/>
              </w:rPr>
              <w:t xml:space="preserve">Fix</w:t>
            </w:r>
          </w:p>
        </w:tc>
        <w:tc>
          <w:tcPr>
            <w:tcW w:type="dxa" w:w="1800"/>
            <w:shd w:fill="1F4E78" w:val="clear"/>
            <w:tcMar>
              <w:top w:type="dxa" w:w="60"/>
              <w:left w:type="dxa" w:w="100"/>
              <w:bottom w:type="dxa" w:w="60"/>
              <w:right w:type="dxa" w:w="100"/>
            </w:tcMar>
          </w:tcPr>
          <w:p>
            <w:pPr>
              <w:spacing w:after="60"/>
            </w:pPr>
            <w:r>
              <w:rPr>
                <w:b/>
                <w:bCs/>
                <w:color w:val="FFFFFF"/>
              </w:rPr>
              <w:t xml:space="preserve">Files changed</w:t>
            </w:r>
          </w:p>
        </w:tc>
        <w:tc>
          <w:tcPr>
            <w:tcW w:type="dxa" w:w="1800"/>
            <w:shd w:fill="1F4E78" w:val="clear"/>
            <w:tcMar>
              <w:top w:type="dxa" w:w="60"/>
              <w:left w:type="dxa" w:w="100"/>
              <w:bottom w:type="dxa" w:w="60"/>
              <w:right w:type="dxa" w:w="100"/>
            </w:tcMar>
          </w:tcPr>
          <w:p>
            <w:pPr>
              <w:spacing w:after="60"/>
            </w:pPr>
            <w:r>
              <w:rPr>
                <w:b/>
                <w:bCs/>
                <w:color w:val="FFFFFF"/>
              </w:rPr>
              <w:t xml:space="preserve">Verification</w:t>
            </w:r>
          </w:p>
        </w:tc>
        <w:tc>
          <w:tcPr>
            <w:tcW w:type="dxa" w:w="1800"/>
            <w:shd w:fill="1F4E78" w:val="clear"/>
            <w:tcMar>
              <w:top w:type="dxa" w:w="60"/>
              <w:left w:type="dxa" w:w="100"/>
              <w:bottom w:type="dxa" w:w="60"/>
              <w:right w:type="dxa" w:w="100"/>
            </w:tcMar>
          </w:tcPr>
          <w:p>
            <w:pPr>
              <w:spacing w:after="60"/>
            </w:pPr>
            <w:r>
              <w:rPr>
                <w:b/>
                <w:bCs/>
                <w:color w:val="FFFFFF"/>
              </w:rPr>
              <w:t xml:space="preserve">Result</w:t>
            </w:r>
          </w:p>
        </w:tc>
      </w:tr>
      <w:tr>
        <w:tc>
          <w:tcPr>
            <w:tcW w:type="dxa" w:w="1800"/>
            <w:tcMar>
              <w:top w:type="dxa" w:w="60"/>
              <w:left w:type="dxa" w:w="100"/>
              <w:bottom w:type="dxa" w:w="60"/>
              <w:right w:type="dxa" w:w="100"/>
            </w:tcMar>
          </w:tcPr>
          <w:p>
            <w:pPr>
              <w:spacing w:after="60"/>
            </w:pPr>
            <w:r>
              <w:t xml:space="preserve">1</w:t>
            </w:r>
          </w:p>
        </w:tc>
        <w:tc>
          <w:tcPr>
            <w:tcW w:type="dxa" w:w="1800"/>
            <w:tcMar>
              <w:top w:type="dxa" w:w="60"/>
              <w:left w:type="dxa" w:w="100"/>
              <w:bottom w:type="dxa" w:w="60"/>
              <w:right w:type="dxa" w:w="100"/>
            </w:tcMar>
          </w:tcPr>
          <w:p>
            <w:pPr>
              <w:spacing w:after="60"/>
            </w:pPr>
            <w:r>
              <w:t xml:space="preserve">Added authentication middleware to </w:t>
            </w:r>
            <w:r>
              <w:rPr>
                <w:rFonts w:ascii="Consolas" w:cs="Consolas" w:eastAsia="Consolas" w:hAnsi="Consolas"/>
              </w:rPr>
              <w:t xml:space="preserve">/student-assessment</w:t>
            </w:r>
            <w:r>
              <w:t xml:space="preserve"> and </w:t>
            </w:r>
            <w:r>
              <w:rPr>
                <w:rFonts w:ascii="Consolas" w:cs="Consolas" w:eastAsia="Consolas" w:hAnsi="Consolas"/>
              </w:rPr>
              <w:t xml:space="preserve">/student-results/{stuId}/graph</w:t>
            </w:r>
            <w:r>
              <w:t xml:space="preserve">, matching the convention used by every comparable route in the same file.</w:t>
            </w:r>
          </w:p>
        </w:tc>
        <w:tc>
          <w:tcPr>
            <w:tcW w:type="dxa" w:w="1800"/>
            <w:tcMar>
              <w:top w:type="dxa" w:w="60"/>
              <w:left w:type="dxa" w:w="100"/>
              <w:bottom w:type="dxa" w:w="60"/>
              <w:right w:type="dxa" w:w="100"/>
            </w:tcMar>
          </w:tcPr>
          <w:p>
            <w:pPr>
              <w:spacing w:after="60"/>
            </w:pPr>
            <w:r>
              <w:rPr>
                <w:rFonts w:ascii="Consolas" w:cs="Consolas" w:eastAsia="Consolas" w:hAnsi="Consolas"/>
              </w:rPr>
              <w:t xml:space="preserve">routes/api.php</w:t>
            </w:r>
          </w:p>
        </w:tc>
        <w:tc>
          <w:tcPr>
            <w:tcW w:type="dxa" w:w="1800"/>
            <w:tcMar>
              <w:top w:type="dxa" w:w="60"/>
              <w:left w:type="dxa" w:w="100"/>
              <w:bottom w:type="dxa" w:w="60"/>
              <w:right w:type="dxa" w:w="100"/>
            </w:tcMar>
          </w:tcPr>
          <w:p>
            <w:pPr>
              <w:spacing w:after="60"/>
            </w:pPr>
            <w:r>
              <w:t xml:space="preserve">Confirmed directly against the live route table in a freshly-booted application instance: both routes now carry the session-authentication middleware. (A separate attempt to confirm via a direct HTTP request found the specific local server process on port 8000 was serving a stale/different instance — even a known-good, pre-existing route 404'd there — so that particular check was inconclusive through no fault of this fix; the authoritative route-table check stands.)</w:t>
            </w:r>
          </w:p>
        </w:tc>
        <w:tc>
          <w:tcPr>
            <w:tcW w:type="dxa" w:w="1800"/>
            <w:tcMar>
              <w:top w:type="dxa" w:w="60"/>
              <w:left w:type="dxa" w:w="100"/>
              <w:bottom w:type="dxa" w:w="60"/>
              <w:right w:type="dxa" w:w="100"/>
            </w:tcMar>
          </w:tcPr>
          <w:p>
            <w:pPr>
              <w:spacing w:after="60"/>
            </w:pPr>
            <w:r>
              <w:rPr>
                <w:b/>
                <w:bCs/>
              </w:rPr>
              <w:t xml:space="preserve">Verified</w:t>
            </w:r>
          </w:p>
        </w:tc>
      </w:tr>
      <w:tr>
        <w:tc>
          <w:tcPr>
            <w:tcW w:type="dxa" w:w="1800"/>
            <w:tcMar>
              <w:top w:type="dxa" w:w="60"/>
              <w:left w:type="dxa" w:w="100"/>
              <w:bottom w:type="dxa" w:w="60"/>
              <w:right w:type="dxa" w:w="100"/>
            </w:tcMar>
          </w:tcPr>
          <w:p>
            <w:pPr>
              <w:spacing w:after="60"/>
            </w:pPr>
            <w:r>
              <w:t xml:space="preserve">2</w:t>
            </w:r>
          </w:p>
        </w:tc>
        <w:tc>
          <w:tcPr>
            <w:tcW w:type="dxa" w:w="1800"/>
            <w:tcMar>
              <w:top w:type="dxa" w:w="60"/>
              <w:left w:type="dxa" w:w="100"/>
              <w:bottom w:type="dxa" w:w="60"/>
              <w:right w:type="dxa" w:w="100"/>
            </w:tcMar>
          </w:tcPr>
          <w:p>
            <w:pPr>
              <w:spacing w:after="60"/>
            </w:pPr>
            <w:r>
              <w:t xml:space="preserve">Added the three missing update steps (topic linkage, chapter-content enrichment, exam-level concept coverage) to the nightly scheduled sync job, so it now matches the manual command exactly.</w:t>
            </w:r>
          </w:p>
        </w:tc>
        <w:tc>
          <w:tcPr>
            <w:tcW w:type="dxa" w:w="1800"/>
            <w:tcMar>
              <w:top w:type="dxa" w:w="60"/>
              <w:left w:type="dxa" w:w="100"/>
              <w:bottom w:type="dxa" w:w="60"/>
              <w:right w:type="dxa" w:w="100"/>
            </w:tcMar>
          </w:tcPr>
          <w:p>
            <w:pPr>
              <w:spacing w:after="60"/>
            </w:pPr>
            <w:r>
              <w:rPr>
                <w:rFonts w:ascii="Consolas" w:cs="Consolas" w:eastAsia="Consolas" w:hAnsi="Consolas"/>
              </w:rPr>
              <w:t xml:space="preserve">app/Console/Kernel.php</w:t>
            </w:r>
          </w:p>
        </w:tc>
        <w:tc>
          <w:tcPr>
            <w:tcW w:type="dxa" w:w="1800"/>
            <w:tcMar>
              <w:top w:type="dxa" w:w="60"/>
              <w:left w:type="dxa" w:w="100"/>
              <w:bottom w:type="dxa" w:w="60"/>
              <w:right w:type="dxa" w:w="100"/>
            </w:tcMar>
          </w:tcPr>
          <w:p>
            <w:pPr>
              <w:spacing w:after="60"/>
            </w:pPr>
            <w:r>
              <w:t xml:space="preserve">Confirmed the three methods use identical, already-proven function signatures; ran a dry run against a real class/subject scope with no errors (241 concepts, 21 prerequisite links, 5,024 question links previewed). A live, non-dry-run execution of this specific scope was blocked by a safety control on live writes in this session — see Section 7/11.</w:t>
            </w:r>
          </w:p>
        </w:tc>
        <w:tc>
          <w:tcPr>
            <w:tcW w:type="dxa" w:w="1800"/>
            <w:tcMar>
              <w:top w:type="dxa" w:w="60"/>
              <w:left w:type="dxa" w:w="100"/>
              <w:bottom w:type="dxa" w:w="60"/>
              <w:right w:type="dxa" w:w="100"/>
            </w:tcMar>
          </w:tcPr>
          <w:p>
            <w:pPr>
              <w:spacing w:after="60"/>
            </w:pPr>
            <w:r>
              <w:rPr>
                <w:b/>
                <w:bCs/>
              </w:rPr>
              <w:t xml:space="preserve">Verified via dry run; full live execution pending authorization</w:t>
            </w:r>
          </w:p>
        </w:tc>
      </w:tr>
      <w:tr>
        <w:tc>
          <w:tcPr>
            <w:tcW w:type="dxa" w:w="1800"/>
            <w:tcMar>
              <w:top w:type="dxa" w:w="60"/>
              <w:left w:type="dxa" w:w="100"/>
              <w:bottom w:type="dxa" w:w="60"/>
              <w:right w:type="dxa" w:w="100"/>
            </w:tcMar>
          </w:tcPr>
          <w:p>
            <w:pPr>
              <w:spacing w:after="60"/>
            </w:pPr>
            <w:r>
              <w:t xml:space="preserve">3</w:t>
            </w:r>
          </w:p>
        </w:tc>
        <w:tc>
          <w:tcPr>
            <w:tcW w:type="dxa" w:w="1800"/>
            <w:tcMar>
              <w:top w:type="dxa" w:w="60"/>
              <w:left w:type="dxa" w:w="100"/>
              <w:bottom w:type="dxa" w:w="60"/>
              <w:right w:type="dxa" w:w="100"/>
            </w:tcMar>
          </w:tcPr>
          <w:p>
            <w:pPr>
              <w:spacing w:after="60"/>
            </w:pPr>
            <w:r>
              <w:t xml:space="preserve">Corrected two code comments that incorrectly stated Neo4j has no Topic data (it has 16,158 Topic nodes).</w:t>
            </w:r>
          </w:p>
        </w:tc>
        <w:tc>
          <w:tcPr>
            <w:tcW w:type="dxa" w:w="1800"/>
            <w:tcMar>
              <w:top w:type="dxa" w:w="60"/>
              <w:left w:type="dxa" w:w="100"/>
              <w:bottom w:type="dxa" w:w="60"/>
              <w:right w:type="dxa" w:w="100"/>
            </w:tcMar>
          </w:tcPr>
          <w:p>
            <w:pPr>
              <w:spacing w:after="60"/>
            </w:pPr>
            <w:r>
              <w:rPr>
                <w:rFonts w:ascii="Consolas" w:cs="Consolas" w:eastAsia="Consolas" w:hAnsi="Consolas"/>
              </w:rPr>
              <w:t xml:space="preserve">app/Services/PAL/Coherence/CurriculumGraphBuilder.php</w:t>
            </w:r>
            <w:r>
              <w:t xml:space="preserve">, </w:t>
            </w:r>
            <w:r>
              <w:rPr>
                <w:rFonts w:ascii="Consolas" w:cs="Consolas" w:eastAsia="Consolas" w:hAnsi="Consolas"/>
              </w:rPr>
              <w:t xml:space="preserve">app/Http/Controllers/api/lms/CoherenceMapApiController.php</w:t>
            </w:r>
          </w:p>
        </w:tc>
        <w:tc>
          <w:tcPr>
            <w:tcW w:type="dxa" w:w="1800"/>
            <w:tcMar>
              <w:top w:type="dxa" w:w="60"/>
              <w:left w:type="dxa" w:w="100"/>
              <w:bottom w:type="dxa" w:w="60"/>
              <w:right w:type="dxa" w:w="100"/>
            </w:tcMar>
          </w:tcPr>
          <w:p>
            <w:pPr>
              <w:spacing w:after="60"/>
            </w:pPr>
            <w:r>
              <w:t xml:space="preserve">Comments now state the verified, current reality (Topic exists; Unit still does not meaningfully participate).</w:t>
            </w:r>
          </w:p>
        </w:tc>
        <w:tc>
          <w:tcPr>
            <w:tcW w:type="dxa" w:w="1800"/>
            <w:tcMar>
              <w:top w:type="dxa" w:w="60"/>
              <w:left w:type="dxa" w:w="100"/>
              <w:bottom w:type="dxa" w:w="60"/>
              <w:right w:type="dxa" w:w="100"/>
            </w:tcMar>
          </w:tcPr>
          <w:p>
            <w:pPr>
              <w:spacing w:after="60"/>
            </w:pPr>
            <w:r>
              <w:rPr>
                <w:b/>
                <w:bCs/>
              </w:rPr>
              <w:t xml:space="preserve">Verified</w:t>
            </w:r>
          </w:p>
        </w:tc>
      </w:tr>
    </w:tbl>
    <w:p>
      <w:pPr>
        <w:spacing w:after="120"/>
      </w:pPr>
    </w:p>
    <w:p>
      <w:pPr>
        <w:spacing w:after="160"/>
      </w:pPr>
      <w:r>
        <w:t xml:space="preserve">All changes are left in the working tree, uncommitted, per standing project convention — nothing was pushed or committed. </w:t>
      </w:r>
      <w:r>
        <w:rPr>
          <w:rFonts w:ascii="Consolas" w:cs="Consolas" w:eastAsia="Consolas" w:hAnsi="Consolas"/>
        </w:rPr>
        <w:t xml:space="preserve">git status --short</w:t>
      </w:r>
      <w:r>
        <w:t xml:space="preserve"> confirms exactly these four files changed, cleanly isolated from the large amount of pre-existing, unrelated work already in progress on this branch.</w:t>
      </w:r>
    </w:p>
    <w:p>
      <w:pPr>
        <w:pStyle w:val="Heading1"/>
        <w:spacing w:after="160" w:before="240"/>
      </w:pPr>
      <w:r>
        <w:t xml:space="preserve">11. Outstanding Issues and Recommended Next Steps</w:t>
      </w:r>
    </w:p>
    <w:p>
      <w:pPr>
        <w:spacing w:after="120"/>
        <w:ind w:left="360" w:hanging="300"/>
      </w:pPr>
      <w:r>
        <w:t xml:space="preserve">1. </w:t>
      </w:r>
      <w:r>
        <w:rPr>
          <w:b/>
          <w:bCs/>
        </w:rPr>
        <w:t xml:space="preserve">Run the nightly sync fix live, with authorization.</w:t>
      </w:r>
      <w:r>
        <w:t xml:space="preserve"> A maintainer (or a session granted permission for live database writes) should run </w:t>
      </w:r>
      <w:r>
        <w:rPr>
          <w:rFonts w:ascii="Consolas" w:cs="Consolas" w:eastAsia="Consolas" w:hAnsi="Consolas"/>
        </w:rPr>
        <w:t xml:space="preserve">php artisan pal:coherence-sync --tenant=1 --standard=43 --subject=3975</w:t>
      </w:r>
      <w:r>
        <w:t xml:space="preserve"> for real, or simply check tomorrow morning's scheduled-job log, to directly confirm the three new steps write data successfully in production, not just in a dry run.</w:t>
      </w:r>
    </w:p>
    <w:p>
      <w:pPr>
        <w:spacing w:after="120"/>
        <w:ind w:left="360" w:hanging="300"/>
      </w:pPr>
      <w:r>
        <w:t xml:space="preserve">2. </w:t>
      </w:r>
      <w:r>
        <w:rPr>
          <w:b/>
          <w:bCs/>
        </w:rPr>
        <w:t xml:space="preserve">Decide whether "Suggested Content" ranking should use the graph's root-cause signal</w:t>
      </w:r>
      <w:r>
        <w:t xml:space="preserve">, or whether today's SQL-only ranking is the intended long-term design. This is a product decision, not a bug fix.</w:t>
      </w:r>
    </w:p>
    <w:p>
      <w:pPr>
        <w:spacing w:after="120"/>
        <w:ind w:left="360" w:hanging="300"/>
      </w:pPr>
      <w:r>
        <w:t xml:space="preserve">3. </w:t>
      </w:r>
      <w:r>
        <w:rPr>
          <w:b/>
          <w:bCs/>
        </w:rPr>
        <w:t xml:space="preserve">Reconcile the three disagreeing "weak concept" definitions</w:t>
      </w:r>
      <w:r>
        <w:t xml:space="preserve"> (three different thresholds in three different parts of the system) into one source of truth, or document deliberately why they differ.</w:t>
      </w:r>
    </w:p>
    <w:p>
      <w:pPr>
        <w:spacing w:after="120"/>
        <w:ind w:left="360" w:hanging="300"/>
      </w:pPr>
      <w:r>
        <w:t xml:space="preserve">4. </w:t>
      </w:r>
      <w:r>
        <w:rPr>
          <w:b/>
          <w:bCs/>
        </w:rPr>
        <w:t xml:space="preserve">Fix the navigation gaps</w:t>
      </w:r>
      <w:r>
        <w:t xml:space="preserve">: add sidebar/menu entries (or at least in-page links) for Enterprise Brain's under-exposed knowledge sub-pages, and reconcile New PAL's sub-navigation bar with its actual seven sub-modules.</w:t>
      </w:r>
    </w:p>
    <w:p>
      <w:pPr>
        <w:spacing w:after="120"/>
        <w:ind w:left="360" w:hanging="300"/>
      </w:pPr>
      <w:r>
        <w:t xml:space="preserve">5. </w:t>
      </w:r>
      <w:r>
        <w:rPr>
          <w:b/>
          <w:bCs/>
        </w:rPr>
        <w:t xml:space="preserve">Author missing content</w:t>
      </w:r>
      <w:r>
        <w:t xml:space="preserve"> for chapters currently falling back to sample "Suggested Content" — this is a content-production task, not an engineering one.</w:t>
      </w:r>
    </w:p>
    <w:p>
      <w:pPr>
        <w:spacing w:after="120"/>
        <w:ind w:left="360" w:hanging="300"/>
      </w:pPr>
      <w:r>
        <w:t xml:space="preserve">6. </w:t>
      </w:r>
      <w:r>
        <w:rPr>
          <w:b/>
          <w:bCs/>
        </w:rPr>
        <w:t xml:space="preserve">Monitor the brand-new Competency/Framework graph data</w:t>
      </w:r>
      <w:r>
        <w:t xml:space="preserve"> (only 2 competencies and 4 frameworks seeded so far) as that feature rolls out further.</w:t>
      </w:r>
    </w:p>
    <w:p>
      <w:pPr>
        <w:spacing w:after="120"/>
        <w:ind w:left="360" w:hanging="300"/>
      </w:pPr>
      <w:r>
        <w:t xml:space="preserve">7. </w:t>
      </w:r>
      <w:r>
        <w:rPr>
          <w:b/>
          <w:bCs/>
        </w:rPr>
        <w:t xml:space="preserve">Revisit the legacy batch-loader pipeline</w:t>
      </w:r>
      <w:r>
        <w:t xml:space="preserve"> (the stalled one-time import using a different key convention) as a separate, deliberate piece of work — not touched in this audit, consistent with standing instructions not to make changes to that migration without explicit sign-off.</w:t>
      </w:r>
    </w:p>
    <w:p>
      <w:pPr>
        <w:pStyle w:val="Heading1"/>
        <w:spacing w:after="160" w:before="240"/>
      </w:pPr>
      <w:r>
        <w:t xml:space="preserve">12. Conclusion for Senior Management</w:t>
      </w:r>
    </w:p>
    <w:p>
      <w:pPr>
        <w:spacing w:after="160"/>
      </w:pPr>
      <w:r>
        <w:t xml:space="preserve">The Knowledge Graph is real, live, growing, and correctly tenant-scoped — this is not a proof of concept. It already does one genuinely valuable thing in production: helping the Adaptive Learning Engine find the true root cause when a student is stuck, by tracing a chain of prerequisite relationships that a simple database lookup cannot follow. It is not yet the thing deciding which content gets recommended to most students day-to-day — that is still rule-based logic against the main database, with the graph's insight attached as a supporting note. That is an accurate, not alarming, state for a system at this stage of build-out: the hard infrastructure (sync pipelines, tenant isolation, the traversal logic itself) is in place and working; what remains is connecting it more deeply into the recommendation ranking itself, a scoped product decision rather than a technical blocker. Two real security/consistency defects were found and fixed today with verification; the remainder are documented, low-risk, and ready to be scheduled deliberately.</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2026-10-12T07:44:42.573Z</dcterms:created>
  <dcterms:modified xsi:type="dcterms:W3CDTF">2026-10-12T07:44:42.583Z</dcterms:modified>
</cp:coreProperties>
</file>

<file path=docProps/custom.xml><?xml version="1.0" encoding="utf-8"?>
<Properties xmlns="http://schemas.openxmlformats.org/officeDocument/2006/custom-properties" xmlns:vt="http://schemas.openxmlformats.org/officeDocument/2006/docPropsVTypes"/>
</file>