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sz w:val="48"/>
          <w:szCs w:val="48"/>
          <w:rtl w:val="0"/>
        </w:rPr>
        <w:t xml:space="preserve">Vivek Arora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Vancouver, BC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www.linkedin.com/in/vivekarora9 | 437-662-4394 | vivekarora9899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@gmail.com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84f3f" w:space="0" w:sz="4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2"/>
          <w:szCs w:val="12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Manager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with 5+ years experience solving payments, customer experience, and workflow optimization challenges in FinTech and Financial Services. Using deep background in data analysis and personal interest in AI/ML models to build digital products that create optimized experiences for internal and end-users in B2B and B2B2C environments.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2"/>
          <w:szCs w:val="1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Key Highlights: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Drove redesign of high-volume transfer experience, reducing rejection rates by 50% and call-center inquiries by 20%.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discovery for RAG-based Gen AI chatbot reducing time-to-first-answer for employee queries by 60%.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Delivered risk-assessment tool that reduced cheque deposit processing times 40% and improved CSAT scores 15%.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Shaped roadmap for digital-first communications strategy that reduced costs and increased digital adoption by ~25%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bottom w:color="284f3f" w:space="0" w:sz="4" w:val="single"/>
        </w:pBd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Computershare - Toronto, ON</w:t>
        <w:tab/>
        <w:tab/>
        <w:tab/>
        <w:tab/>
        <w:tab/>
        <w:tab/>
        <w:tab/>
        <w:tab/>
        <w:tab/>
        <w:t xml:space="preserve">              August 2025 - Present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Global fintech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serving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publicly traded companies through shareholder recordkeeping, investor communications, and securities transfer solutions.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Led 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cross-functional teams in customer experience redesign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of 300K+/year transfer process; conducted end-to-end analysis and launched Digital Transfer tool to streamline process; reduced rejection rates 50% and call-center inquiries 20%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Shaped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roadmap and drove prioritization of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digital-first communications strategy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partnering with legal to ensure compliance and implementing eligibility-based QR code journeys that increased adoption by 25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provided significant cost savings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launched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post-registration onboarding feature used by 20,000+ users/month, data mapping triggers and testing welcome communications, increasing first-time user engagement 15% and accelerated activation of self-service features.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Owned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product discovery for high-volume transfer workflows using rejection data, call center insights, and stakeholder interviews, identifying key drivers of ~80% rejection rates in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deceased transfer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journeys.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Drove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lift-and-shift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migration from legacy code to SaaS, authoring functional specifications including data mapping, complex business rules, API definitions, and workflow diagrams across end-to-end parsing states.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Bank of Montreal - Toronto, ON</w:t>
        <w:tab/>
        <w:tab/>
        <w:tab/>
        <w:tab/>
        <w:tab/>
        <w:tab/>
        <w:tab/>
        <w:tab/>
        <w:t xml:space="preserve">              </w:t>
        <w:tab/>
        <w:t xml:space="preserve">     November 2023 -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Delivered a scalable, digital risk-assessment tool to replace time-consuming manual process, conducting user interviews and leading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cross-functional UAT;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reduced transaction processing time 40% and improved satisfaction scores (CSAT) 15%.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Defined use cases and wrote user stories for a RAG-based Gen AI internal chatbot to replace legacy Sharepoint searches, improving access to policy and procedural guidance and reducing time-to-first-answer for employee queries by 60%.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Launched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mobile banking insights feature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defining workflows and conducting A/B testing to increase digital engagement by 15% through improved financial visibility and protecting business with fraud prevention strategies.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S&amp;P Global - New Delhi, Delhi</w:t>
        <w:tab/>
        <w:tab/>
        <w:tab/>
        <w:tab/>
        <w:tab/>
        <w:tab/>
        <w:tab/>
        <w:tab/>
        <w:t xml:space="preserve">                           July 2021 - August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Analyzed multi-billion-dollar syndicated loan transactions using SQL and Excel to identify anomalies, reconcile financial positions, and ensure data integrity across complex financial systems.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Delivered accurate transaction reporting and reconciliation insights for institutional clients (such as Blackrock), supporting data-driven decision-making across investment banks, asset managers, and private equity firms.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Conducted root-cause analysis on reconciliation breaks and transaction discrepancies, improving accuracy of financial records and reducing operational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284f3f" w:space="0" w:sz="4" w:val="single"/>
        </w:pBd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spacing w:before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PGDM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, Analysis for Business Decision Making 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George Brown Polytechnic, Toronto,ON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ab/>
        <w:tab/>
        <w:tab/>
        <w:t xml:space="preserve">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Bachelors in Business Administration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IPU</w:t>
        <w:tab/>
        <w:tab/>
        <w:tab/>
        <w:tab/>
        <w:tab/>
        <w:tab/>
        <w:tab/>
        <w:tab/>
        <w:tab/>
        <w:tab/>
        <w:t xml:space="preserve">             2020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Scrum Master Certified,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Scrum Study</w:t>
        <w:tab/>
        <w:tab/>
        <w:tab/>
        <w:tab/>
        <w:tab/>
        <w:tab/>
        <w:tab/>
        <w:tab/>
        <w:tab/>
        <w:tab/>
        <w:t xml:space="preserve">             2024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Certified Business Analyst,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IIBA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2023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284f3f" w:space="0" w:sz="4" w:val="single"/>
        </w:pBd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Product Discovery, Product Strategy, Roadmap Planning, Prioritization, User Research, Stakeholder Management, Agile &amp; Scrum Methodology, Jira, Confluence, SQL, Python, Tableau, Power BI, Data Analysis, KPI Tracking, A/B Testing, API Integrations, LLM, Prompt Engineering, AI Evaluation &amp; Metrics,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Claude Code/Cowork, Codex, Agentic Loops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Backlog Grooming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