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Learning the Shape of a Flow: Detecting Obfuscated Malicious Network Traffic with Adversarially Trained Deep Networks</w:t>
      </w:r>
    </w:p>
    <w:p>
      <w:pPr>
        <w:spacing w:after="120" w:line="360"/>
        <w:jc w:val="center"/>
      </w:pPr>
      <w:r>
        <w:rPr>
          <w:rFonts w:ascii="Times New Roman" w:cs="Times New Roman" w:eastAsia="Times New Roman" w:hAnsi="Times New Roman"/>
          <w:b w:val="false"/>
          <w:bCs w:val="false"/>
          <w:sz w:val="24"/>
          <w:szCs w:val="24"/>
        </w:rPr>
        <w:t xml:space="preserve">Vivek Neeralagi, Muhammad Shahbik, Aravind P Sagar, J Aditya</w:t>
      </w:r>
    </w:p>
    <w:p>
      <w:pPr>
        <w:spacing w:after="120" w:line="360"/>
        <w:jc w:val="center"/>
      </w:pPr>
      <w:r>
        <w:rPr>
          <w:rFonts w:ascii="Times New Roman" w:cs="Times New Roman" w:eastAsia="Times New Roman" w:hAnsi="Times New Roman"/>
          <w:b w:val="false"/>
          <w:bCs w:val="false"/>
          <w:sz w:val="22"/>
          <w:szCs w:val="22"/>
        </w:rPr>
        <w:t xml:space="preserve">Department of Computer Science &amp; Engineering, Sahyadri College of Engineering &amp; Management, Mangaluru</w:t>
      </w:r>
    </w:p>
    <w:p>
      <w:pPr>
        <w:spacing w:before="200"/>
      </w:pPr>
    </w:p>
    <w:p>
      <w:pPr>
        <w:spacing w:after="120" w:line="360"/>
        <w:jc w:val="both"/>
      </w:pPr>
      <w:r>
        <w:rPr>
          <w:rFonts w:ascii="Times New Roman" w:cs="Times New Roman" w:eastAsia="Times New Roman" w:hAnsi="Times New Roman"/>
          <w:i/>
          <w:iCs/>
          <w:sz w:val="24"/>
          <w:szCs w:val="24"/>
        </w:rPr>
        <w:t xml:space="preserve">Abstract. Signature-based Deep Packet Inspection fails against malware that reshapes its traffic rather than its payload. This chapter presents a deep learning detector that classifies a network flow as benign, malicious-plain or malicious-obfuscated from the shape of the flow alone, and evaluates it under adversarial attacks constrained to what an attacker can physically do: pad a packet or delay it. A packet-level simulator with twelve application profiles and eight obfuscation transforms provides exactly labelled data; a 1D-CNN, a bidirectional GRU, an MLP, a hybrid and classical baselines are compared; robustness is measured with domain-constrained FGSM/PGD, a packet-space black-box attack and cross-architecture transfer; and adversarial training is applied as the defense. The hybrid model reaches 96.88% accuracy and 94.24% recall on obfuscated attacks, on par with a random forest on engineered statistics; adversarial training raises constrained-PGD accuracy at ε = 0.1 from 72.76% to 93.75% at a clean-accuracy cost of 0.37% points. Unconstrained attacks are shown to overstate the threat, and base-rate analysis translates the false-positive rate into what an analyst would experience on a 99%-benign network.</w:t>
      </w:r>
    </w:p>
    <w:p>
      <w:pPr>
        <w:spacing w:after="120" w:line="360"/>
        <w:jc w:val="both"/>
      </w:pPr>
      <w:r>
        <w:rPr>
          <w:rFonts w:ascii="Times New Roman" w:cs="Times New Roman" w:eastAsia="Times New Roman" w:hAnsi="Times New Roman"/>
          <w:i/>
          <w:iCs/>
          <w:sz w:val="24"/>
          <w:szCs w:val="24"/>
        </w:rPr>
        <w:t xml:space="preserve">Keywords: network security, DPI evasion, traffic obfuscation, 1D-CNN, adversarial machine learning, adversarial training.</w:t>
      </w:r>
    </w:p>
    <w:p>
      <w:pPr>
        <w:pStyle w:val="Heading1"/>
        <w:spacing w:after="240" w:before="360" w:line="360"/>
      </w:pPr>
      <w:r>
        <w:rPr>
          <w:rFonts w:ascii="Times New Roman" w:cs="Times New Roman" w:eastAsia="Times New Roman" w:hAnsi="Times New Roman"/>
          <w:b/>
          <w:bCs/>
          <w:color w:val="000000"/>
          <w:sz w:val="32"/>
          <w:szCs w:val="32"/>
        </w:rPr>
        <w:t xml:space="preserve">1. Introduction</w:t>
      </w:r>
    </w:p>
    <w:p>
      <w:pPr>
        <w:spacing w:after="120" w:line="360"/>
        <w:jc w:val="both"/>
      </w:pPr>
      <w:r>
        <w:rPr>
          <w:rFonts w:ascii="Times New Roman" w:cs="Times New Roman" w:eastAsia="Times New Roman" w:hAnsi="Times New Roman"/>
          <w:sz w:val="24"/>
          <w:szCs w:val="24"/>
        </w:rPr>
        <w:t xml:space="preserve">Deep Packet Inspection (DPI) detects malicious traffic by matching byte patterns inside packets, and it works only while those bytes are visible and recognisable. Neither condition holds any longer. Encryption is the default for application traffic, and evasive malware deliberately reshapes the observable characteristics of what it sends: packets are padded to fixed block sizes, inter-arrival times are jittered or flattened, records are fragmented, the whole flow is tunnelled, or its size and timing distribution is morphed to resemble video streaming. None of these changes the semantics of the traffic; all of them change its shape.</w:t>
      </w:r>
    </w:p>
    <w:p>
      <w:pPr>
        <w:spacing w:after="120" w:line="360"/>
        <w:jc w:val="both"/>
      </w:pPr>
      <w:r>
        <w:rPr>
          <w:rFonts w:ascii="Times New Roman" w:cs="Times New Roman" w:eastAsia="Times New Roman" w:hAnsi="Times New Roman"/>
          <w:sz w:val="24"/>
          <w:szCs w:val="24"/>
        </w:rPr>
        <w:t xml:space="preserve">That shape, the ordered sequence of packet sizes, directions and inter-arrival times together with aggregate flow statistics, survives encryption and is what this work learns from. The question is not whether a neural network can classify undisguised attack traffic (it can, easily) but whether it can recognise attack traffic reshaped to evade detection, and whether it keeps doing so when an adversary who knows the detector exists optimises against it.</w:t>
      </w:r>
    </w:p>
    <w:p>
      <w:pPr>
        <w:spacing w:after="120" w:line="360"/>
        <w:jc w:val="both"/>
      </w:pPr>
      <w:r>
        <w:rPr>
          <w:rFonts w:ascii="Times New Roman" w:cs="Times New Roman" w:eastAsia="Times New Roman" w:hAnsi="Times New Roman"/>
          <w:sz w:val="24"/>
          <w:szCs w:val="24"/>
        </w:rPr>
        <w:t xml:space="preserve">The problem was chosen because it sits where two literatures fail to meet. Deep traffic classifiers are evaluated on captures where nobody was trying to evade them; the traffic-analysis countermeasure literature studies obfuscation from the attacker's side; and adversarial machine learning is almost entirely image-centric, with a perturbation model that admits changes no attacker can make to a flow. Our objectives were to (i) build a labelled dataset in which obfuscation is applied rather than inferred, (ii) compare sequence, statistics and hybrid detectors, (iii) determine which obfuscation techniques defeat them, (iv) measure robustness under attacks restricted to pad-only and delay-only edits, and (v) harden the best model with adversarial training while reporting the cost.</w:t>
      </w:r>
    </w:p>
    <w:p>
      <w:pPr>
        <w:pStyle w:val="Heading1"/>
        <w:spacing w:after="240" w:before="360" w:line="360"/>
      </w:pPr>
      <w:r>
        <w:rPr>
          <w:rFonts w:ascii="Times New Roman" w:cs="Times New Roman" w:eastAsia="Times New Roman" w:hAnsi="Times New Roman"/>
          <w:b/>
          <w:bCs/>
          <w:color w:val="000000"/>
          <w:sz w:val="32"/>
          <w:szCs w:val="32"/>
        </w:rPr>
        <w:t xml:space="preserve">2. Literature Review</w:t>
      </w:r>
    </w:p>
    <w:p>
      <w:pPr>
        <w:spacing w:after="120" w:line="360"/>
        <w:jc w:val="both"/>
      </w:pPr>
      <w:r>
        <w:rPr>
          <w:rFonts w:ascii="Times New Roman" w:cs="Times New Roman" w:eastAsia="Times New Roman" w:hAnsi="Times New Roman"/>
          <w:sz w:val="24"/>
          <w:szCs w:val="24"/>
        </w:rPr>
        <w:t xml:space="preserve">Deep learning for traffic classification. Wang et al. [10] applied a 1D-CNN to raw packet bytes for malware traffic classification; Lotfollahi et al. [11] (Deep Packet) and Aceto et al. [12] (MIMETIC) extended the idea to encrypted and mobile traffic with convolutional and multimodal architectures. In website fingerprinting, Sirinam et al. [13] and Rimmer et al. [14] showed that a CNN over packet direction sequences defeats published defenses. These works establish that flow shape is learnable, but they evaluate on un-obfuscated captures, rarely include benign traffic that is itself obfuscated, and report no adversarial robustness.</w:t>
      </w:r>
    </w:p>
    <w:p>
      <w:pPr>
        <w:spacing w:after="120" w:line="360"/>
        <w:jc w:val="both"/>
      </w:pPr>
      <w:r>
        <w:rPr>
          <w:rFonts w:ascii="Times New Roman" w:cs="Times New Roman" w:eastAsia="Times New Roman" w:hAnsi="Times New Roman"/>
          <w:sz w:val="24"/>
          <w:szCs w:val="24"/>
        </w:rPr>
        <w:t xml:space="preserve">Traffic obfuscation. Wright et al. [16] introduced traffic morphing, reshaping a flow's packet-size distribution to match a target; Dyer et al. [15] showed that coarse features such as total volume survive most efficient countermeasures, which is the observation behind our volume-preserving mimicry transform; Nasr et al. [17] demonstrated blind adversarial perturbations against DNN traffic analysers on live traffic, motivating our pad-only/delay-only constraint. Draper-Gil et al. [20] characterised VPN traffic by time features, evidence that obfuscated benign traffic exists at scale.</w:t>
      </w:r>
    </w:p>
    <w:p>
      <w:pPr>
        <w:spacing w:after="120" w:line="360"/>
        <w:jc w:val="both"/>
      </w:pPr>
      <w:r>
        <w:rPr>
          <w:rFonts w:ascii="Times New Roman" w:cs="Times New Roman" w:eastAsia="Times New Roman" w:hAnsi="Times New Roman"/>
          <w:sz w:val="24"/>
          <w:szCs w:val="24"/>
        </w:rPr>
        <w:t xml:space="preserve">Adversarial machine learning. FGSM [1] and PGD [2] define the attacks; Carlini and Wagner [3] the evaluation discipline; Papernot et al. [4] transferability; Athalye et al. [5] the warning that gradient-masking defenses give false security, which is why we add a gradient-free attack; Cohen et al. [6] randomised smoothing; Guo et al. [7] temperature scaling. Pierazzi et al. [8] and Apruzzese et al. [9] argue that security-domain attacks must respect problem-space constraints, a recommendation this chapter follows. Sommer and Paxson [21] explain why machine-learning intrusion detection fails in deployment, chiefly through base rates, which motivates our base-rate analysis. Public datasets CIC-IDS2017 [18] and UNSW-NB15 [19] are flow-level and cannot supply the per-packet sequence a convolutional detector consumes.</w:t>
      </w:r>
    </w:p>
    <w:p>
      <w:pPr>
        <w:spacing w:after="120" w:line="360"/>
        <w:jc w:val="both"/>
      </w:pPr>
      <w:r>
        <w:rPr>
          <w:rFonts w:ascii="Times New Roman" w:cs="Times New Roman" w:eastAsia="Times New Roman" w:hAnsi="Times New Roman"/>
          <w:sz w:val="24"/>
          <w:szCs w:val="24"/>
        </w:rPr>
        <w:t xml:space="preserve">The gap. No prior work trains a detector on explicitly obfuscated traffic with an obfuscated-benign class, evaluates it under attacks constrained to physically realisable edits, compares those to a problem-space attack, and reports the result at deployment base rates. This chapter does all four.</w:t>
      </w:r>
    </w:p>
    <w:p>
      <w:pPr>
        <w:pStyle w:val="Heading1"/>
        <w:spacing w:after="240" w:before="360" w:line="360"/>
      </w:pPr>
      <w:r>
        <w:rPr>
          <w:rFonts w:ascii="Times New Roman" w:cs="Times New Roman" w:eastAsia="Times New Roman" w:hAnsi="Times New Roman"/>
          <w:b/>
          <w:bCs/>
          <w:color w:val="000000"/>
          <w:sz w:val="32"/>
          <w:szCs w:val="32"/>
        </w:rPr>
        <w:t xml:space="preserve">3. Methodology</w:t>
      </w:r>
    </w:p>
    <w:p>
      <w:pPr>
        <w:pStyle w:val="Heading2"/>
        <w:spacing w:after="120" w:before="240" w:line="360"/>
      </w:pPr>
      <w:r>
        <w:rPr>
          <w:rFonts w:ascii="Times New Roman" w:cs="Times New Roman" w:eastAsia="Times New Roman" w:hAnsi="Times New Roman"/>
          <w:b/>
          <w:bCs/>
          <w:color w:val="000000"/>
          <w:sz w:val="28"/>
          <w:szCs w:val="28"/>
        </w:rPr>
        <w:t xml:space="preserve">3.1 Data</w:t>
      </w:r>
    </w:p>
    <w:p>
      <w:pPr>
        <w:spacing w:after="120" w:line="360"/>
        <w:jc w:val="both"/>
      </w:pPr>
      <w:r>
        <w:rPr>
          <w:rFonts w:ascii="Times New Roman" w:cs="Times New Roman" w:eastAsia="Times New Roman" w:hAnsi="Times New Roman"/>
          <w:sz w:val="24"/>
          <w:szCs w:val="24"/>
        </w:rPr>
        <w:t xml:space="preserve">A packet-level simulator emits (timestamp, size, direction) records from six benign profiles (web browsing, video streaming, VoIP, file download, DNS, interactive SSH) and six malicious profiles (C2 beacon, data exfiltration, port scan, brute force, DDoS flood, reverse shell; the last deliberately overlaps SSH). Eight obfuscation transforms, block padding, random padding, fragmentation, timing jitter, constant-rate shaping, dummy injection, tunnel encapsulation and protocol mimicry, are composed into recipes of one to three steps with sampled intensities. Every transform preserves byte volume and packet validity. The dataset holds 20,000 flows: 34% benign, of which 35% are obfuscated and stay labelled benign; 33% malicious-plain; 33% malicious-obfuscated. Obfuscation is applied rather than inferred, so every label and recipe is exact. Real captures are supported through per-packet CSVs exported by tshark.</w:t>
      </w:r>
    </w:p>
    <w:p>
      <w:pPr>
        <w:pStyle w:val="Heading2"/>
        <w:spacing w:after="120" w:before="240" w:line="360"/>
      </w:pPr>
      <w:r>
        <w:rPr>
          <w:rFonts w:ascii="Times New Roman" w:cs="Times New Roman" w:eastAsia="Times New Roman" w:hAnsi="Times New Roman"/>
          <w:b/>
          <w:bCs/>
          <w:color w:val="000000"/>
          <w:sz w:val="28"/>
          <w:szCs w:val="28"/>
        </w:rPr>
        <w:t xml:space="preserve">3.2 Features</w:t>
      </w:r>
    </w:p>
    <w:p>
      <w:pPr>
        <w:spacing w:after="120" w:line="360"/>
        <w:jc w:val="both"/>
      </w:pPr>
      <w:r>
        <w:rPr>
          <w:rFonts w:ascii="Times New Roman" w:cs="Times New Roman" w:eastAsia="Times New Roman" w:hAnsi="Times New Roman"/>
          <w:sz w:val="24"/>
          <w:szCs w:val="24"/>
        </w:rPr>
        <w:t xml:space="preserve">Two views are extracted. The sequence view encodes the first 128 packets across four channels: signed size (size/MTU carrying the direction sign), log inter-arrival time, direction, and a validity mask. The statistics view is 51 aggregates: volume, size and timing moments, plus size-grid occupancy (the fraction of packets on a 64/128/256-byte boundary, the fingerprint of block padding), size diversity, and timing regularity (coefficient of variation and autocorrelation peak of inter-arrival times). Statistics pass through arcsinh before standardisation, which is invertible; invertibility lets an attack in scaled space be projected back into legal original units.</w:t>
      </w:r>
    </w:p>
    <w:p>
      <w:pPr>
        <w:pStyle w:val="Heading2"/>
        <w:spacing w:after="120" w:before="240" w:line="360"/>
      </w:pPr>
      <w:r>
        <w:rPr>
          <w:rFonts w:ascii="Times New Roman" w:cs="Times New Roman" w:eastAsia="Times New Roman" w:hAnsi="Times New Roman"/>
          <w:b/>
          <w:bCs/>
          <w:color w:val="000000"/>
          <w:sz w:val="28"/>
          <w:szCs w:val="28"/>
        </w:rPr>
        <w:t xml:space="preserve">3.3 Models</w:t>
      </w:r>
    </w:p>
    <w:p>
      <w:pPr>
        <w:spacing w:after="120" w:line="360"/>
        <w:jc w:val="both"/>
      </w:pPr>
      <w:r>
        <w:rPr>
          <w:rFonts w:ascii="Times New Roman" w:cs="Times New Roman" w:eastAsia="Times New Roman" w:hAnsi="Times New Roman"/>
          <w:sz w:val="24"/>
          <w:szCs w:val="24"/>
        </w:rPr>
        <w:t xml:space="preserve">A 1D-CNN with three convolution stages (64/128/128 channels, kernels 7/5/3) and both average and max pooling over time (126k parameters); a bidirectional GRU packed to true flow length; an MLP (256/128/64) over the statistics (56k); a hybrid concatenating the CNN trunk and a statistics trunk at the head (149k); and random forest, RBF SVM and logistic regression baselines on the same scaled statistics. Every model implements forward(sequence, statistics) and declares which surface it reads, so one trainer, one attack loop and one evaluator serve all of them. Training uses AdamW, cosine schedule, label smoothing 0.05, up to 60 epochs with early stopping, and selects on validation macro-F1 rather than accuracy, because collapsing the obfuscated class into the plain class costs little accuracy but much macro-F1.</w:t>
      </w:r>
    </w:p>
    <w:p>
      <w:pPr>
        <w:pStyle w:val="Heading2"/>
        <w:spacing w:after="120" w:before="240" w:line="360"/>
      </w:pPr>
      <w:r>
        <w:rPr>
          <w:rFonts w:ascii="Times New Roman" w:cs="Times New Roman" w:eastAsia="Times New Roman" w:hAnsi="Times New Roman"/>
          <w:b/>
          <w:bCs/>
          <w:color w:val="000000"/>
          <w:sz w:val="28"/>
          <w:szCs w:val="28"/>
        </w:rPr>
        <w:t xml:space="preserve">3.4 Attacks and Defense</w:t>
      </w:r>
    </w:p>
    <w:p>
      <w:pPr>
        <w:spacing w:after="120" w:line="360"/>
        <w:jc w:val="both"/>
      </w:pPr>
      <w:r>
        <w:rPr>
          <w:rFonts w:ascii="Times New Roman" w:cs="Times New Roman" w:eastAsia="Times New Roman" w:hAnsi="Times New Roman"/>
          <w:sz w:val="24"/>
          <w:szCs w:val="24"/>
        </w:rPr>
        <w:t xml:space="preserve">FGSM and PGD are projected at each step onto the intersection of the ε-ball and a one-sided domain box: size magnitude may only grow (to the MTU), log inter-arrival time may only increase, direction and validity mask are frozen, and padding positions are untouched. Statistics are clamped so that proportions stay in [0, 1], counts non-negative and entropies under their 5-bit ceiling. The unconstrained attack is retained for comparison. A packet-space black-box attack edits the raw packets with pad and delay operations, re-runs the feature extractor and queries only output probabilities, in a greedy hill-climb of up to 150 queries; every flow it produces could actually be sent. Adversarial training replaces half of each batch with PGD-5 examples (ε = 0.1, both surfaces), a weaker attack than evaluation uses on purpose. Randomised smoothing, temperature scaling and cross-architecture transfer complete the evaluation.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Channel</w:t>
            </w:r>
          </w:p>
        </w:tc>
        <w:tc>
          <w:tcPr>
            <w:tcW w:type="dxa" w:w="60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Constrained perturbation</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signed size</w:t>
            </w:r>
          </w:p>
        </w:tc>
        <w:tc>
          <w:tcPr>
            <w:tcW w:type="dxa" w:w="6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magnitude may only grow, up to the MTU</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log inter-arrival time</w:t>
            </w:r>
          </w:p>
        </w:tc>
        <w:tc>
          <w:tcPr>
            <w:tcW w:type="dxa" w:w="6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may only increase (delay)</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direction</w:t>
            </w:r>
          </w:p>
        </w:tc>
        <w:tc>
          <w:tcPr>
            <w:tcW w:type="dxa" w:w="6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frozen</w:t>
            </w:r>
          </w:p>
        </w:tc>
      </w:tr>
      <w:tr>
        <w:tc>
          <w:tcPr>
            <w:tcW w:type="dxa" w:w="3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validity mask</w:t>
            </w:r>
          </w:p>
        </w:tc>
        <w:tc>
          <w:tcPr>
            <w:tcW w:type="dxa" w:w="60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frozen</w:t>
            </w:r>
          </w:p>
        </w:tc>
      </w:tr>
    </w:tbl>
    <w:p>
      <w:pPr>
        <w:spacing w:after="240" w:before="60"/>
        <w:jc w:val="center"/>
      </w:pPr>
      <w:r>
        <w:rPr>
          <w:rFonts w:ascii="Times New Roman" w:cs="Times New Roman" w:eastAsia="Times New Roman" w:hAnsi="Times New Roman"/>
          <w:i/>
          <w:iCs/>
          <w:sz w:val="22"/>
          <w:szCs w:val="22"/>
        </w:rPr>
        <w:t xml:space="preserve">Table 1: The pad-only / delay-only feasible set for sequence-space attacks.</w:t>
      </w:r>
    </w:p>
    <w:p>
      <w:pPr>
        <w:pStyle w:val="Heading1"/>
        <w:spacing w:after="240" w:before="360" w:line="360"/>
      </w:pPr>
      <w:r>
        <w:rPr>
          <w:rFonts w:ascii="Times New Roman" w:cs="Times New Roman" w:eastAsia="Times New Roman" w:hAnsi="Times New Roman"/>
          <w:b/>
          <w:bCs/>
          <w:color w:val="000000"/>
          <w:sz w:val="32"/>
          <w:szCs w:val="32"/>
        </w:rPr>
        <w:t xml:space="preserve">4. Results and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80"/>
        <w:gridCol w:w="1280"/>
        <w:gridCol w:w="1280"/>
        <w:gridCol w:w="1280"/>
        <w:gridCol w:w="1280"/>
      </w:tblGrid>
      <w:tr>
        <w:trPr>
          <w:tblHeader/>
        </w:trPr>
        <w:tc>
          <w:tcPr>
            <w:tcW w:type="dxa" w:w="26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Model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Macro-F1</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Mal. recall</w:t>
            </w:r>
          </w:p>
        </w:tc>
        <w:tc>
          <w:tcPr>
            <w:tcW w:type="dxa" w:w="128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FPR</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1D-CNN</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0.9410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0.9404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0.8856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0.9792</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0.0602</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MLP</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0.9311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0.9826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0.0448</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 CNN+MLP</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0.9860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0.0323</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 + adversarial training</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0.9650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0.9649</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0.9879</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0.0448</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Random forest</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0.9721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0.9492</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0.0309</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RBF SVM</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0.9681</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0.9386</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0.9848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0.0331</w:t>
            </w:r>
          </w:p>
        </w:tc>
      </w:tr>
      <w:tr>
        <w:tc>
          <w:tcPr>
            <w:tcW w:type="dxa" w:w="26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Logistic regression</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0.9220</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0.9213</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0.8568</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0.9557</w:t>
            </w:r>
          </w:p>
        </w:tc>
        <w:tc>
          <w:tcPr>
            <w:tcW w:type="dxa" w:w="128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0.0779</w:t>
            </w:r>
          </w:p>
        </w:tc>
      </w:tr>
    </w:tbl>
    <w:p>
      <w:pPr>
        <w:spacing w:after="240" w:before="60"/>
        <w:jc w:val="center"/>
      </w:pPr>
      <w:r>
        <w:rPr>
          <w:rFonts w:ascii="Times New Roman" w:cs="Times New Roman" w:eastAsia="Times New Roman" w:hAnsi="Times New Roman"/>
          <w:i/>
          <w:iCs/>
          <w:sz w:val="22"/>
          <w:szCs w:val="22"/>
        </w:rPr>
        <w:t xml:space="preserve">Table 2: Clean test-set performance on 4,000 flows.</w:t>
      </w:r>
    </w:p>
    <w:p>
      <w:pPr>
        <w:spacing w:before="120"/>
        <w:jc w:val="center"/>
      </w:pPr>
      <w:r>
        <w:drawing>
          <wp:inline distT="0" distB="0" distL="0" distR="0">
            <wp:extent cx="47529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52975" cy="24765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1: Deep models against classical baselines.</w:t>
      </w:r>
    </w:p>
    <w:p>
      <w:pPr>
        <w:spacing w:after="120" w:line="360"/>
        <w:jc w:val="both"/>
      </w:pPr>
      <w:r>
        <w:rPr>
          <w:rFonts w:ascii="Times New Roman" w:cs="Times New Roman" w:eastAsia="Times New Roman" w:hAnsi="Times New Roman"/>
          <w:sz w:val="24"/>
          <w:szCs w:val="24"/>
        </w:rPr>
        <w:t xml:space="preserve">Clean performance. The random forest on the engineered statistics is the strongest clean classifier (97.23%); the plain 1D-CNN (94.10%) does not beat it, and the hybrid (96.88%, obfuscated recall 94.24%) ties it. Confusions occur only between the two malicious classes and between benign and malicious-obfuscated; plain attacks are trivially separable.</w:t>
      </w:r>
    </w:p>
    <w:p>
      <w:pPr>
        <w:spacing w:before="120"/>
        <w:jc w:val="center"/>
      </w:pPr>
      <w:r>
        <w:drawing>
          <wp:inline distT="0" distB="0" distL="0" distR="0">
            <wp:extent cx="4752975"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2975" cy="280035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2: Recall by obfuscation technique, hybrid model, 400 fresh flows per technique.</w:t>
      </w:r>
    </w:p>
    <w:p>
      <w:pPr>
        <w:spacing w:after="120" w:line="360"/>
        <w:jc w:val="both"/>
      </w:pPr>
      <w:r>
        <w:rPr>
          <w:rFonts w:ascii="Times New Roman" w:cs="Times New Roman" w:eastAsia="Times New Roman" w:hAnsi="Times New Roman"/>
          <w:sz w:val="24"/>
          <w:szCs w:val="24"/>
        </w:rPr>
        <w:t xml:space="preserve">Per-technique detectability. Recall ranges from 65.25% for fragmentation to 99.25% for block padding; the aggregate obfuscated recall hides this spread, and the breakdown is only possible because each flow's recipe was recorded.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rPr>
          <w:tblHeader/>
        </w:trPr>
        <w:tc>
          <w:tcPr>
            <w:tcW w:type="dxa" w:w="4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Attack</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Evasion rate</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clean</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0.9688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0.0000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eps=0.05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0.9203</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0.8992</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0.0314</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eps=0.1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0.7846</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0.8402</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0.0542</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eps=0.05 steps=10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0.9110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0.8977</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0.0311</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0.7276</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0.8068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0.0655</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eps=0.2 steps=20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0.3967</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0.5803</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0.1413</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unconstrained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0.6483</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0.6902</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0.1186</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 targeted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0.9033</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0.8447</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0.0705</w:t>
            </w:r>
          </w:p>
        </w:tc>
      </w:tr>
    </w:tbl>
    <w:p>
      <w:pPr>
        <w:spacing w:after="240" w:before="60"/>
        <w:jc w:val="center"/>
      </w:pPr>
      <w:r>
        <w:rPr>
          <w:rFonts w:ascii="Times New Roman" w:cs="Times New Roman" w:eastAsia="Times New Roman" w:hAnsi="Times New Roman"/>
          <w:i/>
          <w:iCs/>
          <w:sz w:val="22"/>
          <w:szCs w:val="22"/>
        </w:rPr>
        <w:t xml:space="preserve">Table 3: Attack sweep, Hybrid CNN+MLP.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1500"/>
        <w:gridCol w:w="1500"/>
      </w:tblGrid>
      <w:tr>
        <w:trPr>
          <w:tblHeader/>
        </w:trPr>
        <w:tc>
          <w:tcPr>
            <w:tcW w:type="dxa" w:w="4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Attack</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Accuracy</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Obf. recall</w:t>
            </w:r>
          </w:p>
        </w:tc>
        <w:tc>
          <w:tcPr>
            <w:tcW w:type="dxa" w:w="15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Evasion rate</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clean</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0.9650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0.9424</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0.0000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eps=0.05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0.9525</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0.9258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0.0186</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fgsm both eps=0.1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0.9405</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0.9076</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0.0242</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eps=0.05 steps=10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0.9525</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0.9258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0.0186</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0.9375</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0.9030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0.0250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eps=0.2 steps=20 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0.8378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0.8038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0.0636</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unconstrained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0.9108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0.8598</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0.0470</w:t>
            </w:r>
          </w:p>
        </w:tc>
      </w:tr>
      <w:tr>
        <w:tc>
          <w:tcPr>
            <w:tcW w:type="dxa" w:w="4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pgd both eps=0.1 steps=10 constrained targeted</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0.9620</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0.9182</w:t>
            </w:r>
          </w:p>
        </w:tc>
        <w:tc>
          <w:tcPr>
            <w:tcW w:type="dxa" w:w="15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0.0250</w:t>
            </w:r>
          </w:p>
        </w:tc>
      </w:tr>
    </w:tbl>
    <w:p>
      <w:pPr>
        <w:spacing w:after="240" w:before="60"/>
        <w:jc w:val="center"/>
      </w:pPr>
      <w:r>
        <w:rPr>
          <w:rFonts w:ascii="Times New Roman" w:cs="Times New Roman" w:eastAsia="Times New Roman" w:hAnsi="Times New Roman"/>
          <w:i/>
          <w:iCs/>
          <w:sz w:val="22"/>
          <w:szCs w:val="22"/>
        </w:rPr>
        <w:t xml:space="preserve">Table 4: Attack sweep, Hybrid + adversarial training.</w:t>
      </w:r>
    </w:p>
    <w:p>
      <w:pPr>
        <w:spacing w:after="120" w:line="360"/>
        <w:jc w:val="both"/>
      </w:pPr>
      <w:r>
        <w:rPr>
          <w:rFonts w:ascii="Times New Roman" w:cs="Times New Roman" w:eastAsia="Times New Roman" w:hAnsi="Times New Roman"/>
          <w:sz w:val="24"/>
          <w:szCs w:val="24"/>
        </w:rPr>
        <w:t xml:space="preserve">Untargeted versus targeted. The untargeted PGD numbers overstate the operational threat in a specific way: at ε = 0.1 the Hybrid CNN+MLP keeps 93.45% malicious recall while its false-positive rate rises to 14.11%, so most of the lost accuracy comes from benign flows being pushed to look obfuscated. A real attacker does not control benign traffic. The targeted attack, which pushes malicious flows towards the benign class and is what an evader actually wants, leaves malicious recall at 92.95% with an evasion rate of 7.05%. Evasion rate, not accuracy, is the security-relevant number.</w:t>
      </w:r>
    </w:p>
    <w:p>
      <w:pPr>
        <w:spacing w:before="120"/>
        <w:jc w:val="center"/>
      </w:pPr>
      <w:r>
        <w:drawing>
          <wp:inline distT="0" distB="0" distL="0" distR="0">
            <wp:extent cx="4752975"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3314700"/>
                    </a:xfrm>
                    <a:prstGeom prst="rect">
                      <a:avLst/>
                    </a:prstGeom>
                  </pic:spPr>
                </pic:pic>
              </a:graphicData>
            </a:graphic>
          </wp:inline>
        </w:drawing>
      </w:r>
    </w:p>
    <w:p>
      <w:pPr>
        <w:spacing w:after="240" w:before="60"/>
        <w:jc w:val="center"/>
      </w:pPr>
      <w:r>
        <w:rPr>
          <w:rFonts w:ascii="Times New Roman" w:cs="Times New Roman" w:eastAsia="Times New Roman" w:hAnsi="Times New Roman"/>
          <w:i/>
          <w:iCs/>
          <w:sz w:val="22"/>
          <w:szCs w:val="22"/>
        </w:rPr>
        <w:t xml:space="preserve">Figure 3: Accuracy under PGD, constrained vs unconstrained, hybrid.</w:t>
      </w:r>
    </w:p>
    <w:p>
      <w:pPr>
        <w:spacing w:after="120" w:line="360"/>
        <w:jc w:val="both"/>
      </w:pPr>
      <w:r>
        <w:rPr>
          <w:rFonts w:ascii="Times New Roman" w:cs="Times New Roman" w:eastAsia="Times New Roman" w:hAnsi="Times New Roman"/>
          <w:sz w:val="24"/>
          <w:szCs w:val="24"/>
        </w:rPr>
        <w:t xml:space="preserve">Robustness. At ε = 0.1 the undefended hybrid retains 72.76% under the constrained attack and 64.83% under the unconstrained one, so ignoring physical validity overstates the vulnerability by 7.92% points. Adversarial training lifts the constrained figure to 93.75% at ε = 0.1 and 84.13% at ε = 0.2 (undefended: 40.16%), for a clean-accuracy cost of 0.37%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dxa" w:w="1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Crafted on \ evaluated on</w:t>
            </w:r>
          </w:p>
        </w:tc>
        <w:tc>
          <w:tcPr>
            <w:tcW w:type="dxa" w:w="1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cnn1d</w:t>
            </w:r>
          </w:p>
        </w:tc>
        <w:tc>
          <w:tcPr>
            <w:tcW w:type="dxa" w:w="1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hybrid</w:t>
            </w:r>
          </w:p>
        </w:tc>
        <w:tc>
          <w:tcPr>
            <w:tcW w:type="dxa" w:w="1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hybrid_advtrain</w:t>
            </w:r>
          </w:p>
        </w:tc>
        <w:tc>
          <w:tcPr>
            <w:tcW w:type="dxa" w:w="1800"/>
            <w:shd w:fill="E7E6E6" w:color="auto" w:val="clear"/>
            <w:tcMar>
              <w:top w:type="dxa" w:w="60"/>
              <w:left w:type="dxa" w:w="80"/>
              <w:bottom w:type="dxa" w:w="60"/>
              <w:right w:type="dxa" w:w="80"/>
            </w:tcMar>
          </w:tcPr>
          <w:p>
            <w:pPr>
              <w:spacing w:line="276"/>
            </w:pPr>
            <w:r>
              <w:rPr>
                <w:rFonts w:ascii="Times New Roman" w:cs="Times New Roman" w:eastAsia="Times New Roman" w:hAnsi="Times New Roman"/>
                <w:b/>
                <w:bCs/>
                <w:sz w:val="20"/>
                <w:szCs w:val="20"/>
              </w:rPr>
              <w:t xml:space="preserve">mlp</w:t>
            </w:r>
          </w:p>
        </w:tc>
      </w:tr>
      <w:tr>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cnn1d</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0.5119</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0.9585</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0.9623</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0.9618</w:t>
            </w:r>
          </w:p>
        </w:tc>
      </w:tr>
      <w:tr>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0.5911</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0.7276</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0.9460</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0.8060</w:t>
            </w:r>
          </w:p>
        </w:tc>
      </w:tr>
      <w:tr>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hybrid_advtrain</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0.7168</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0.8908</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0.9375</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0.9033</w:t>
            </w:r>
          </w:p>
        </w:tc>
      </w:tr>
      <w:tr>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mlp</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0.9410</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0.8618</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0.9540</w:t>
            </w:r>
          </w:p>
        </w:tc>
        <w:tc>
          <w:tcPr>
            <w:tcW w:type="dxa" w:w="1800"/>
            <w:tcMar>
              <w:top w:type="dxa" w:w="60"/>
              <w:left w:type="dxa" w:w="80"/>
              <w:bottom w:type="dxa" w:w="60"/>
              <w:right w:type="dxa" w:w="80"/>
            </w:tcMar>
          </w:tcPr>
          <w:p>
            <w:pPr>
              <w:spacing w:line="276"/>
            </w:pPr>
            <w:r>
              <w:rPr>
                <w:rFonts w:ascii="Times New Roman" w:cs="Times New Roman" w:eastAsia="Times New Roman" w:hAnsi="Times New Roman"/>
                <w:b w:val="false"/>
                <w:bCs w:val="false"/>
                <w:sz w:val="20"/>
                <w:szCs w:val="20"/>
              </w:rPr>
              <w:t xml:space="preserve">0.5884</w:t>
            </w:r>
          </w:p>
        </w:tc>
      </w:tr>
    </w:tbl>
    <w:p>
      <w:pPr>
        <w:spacing w:after="240" w:before="60"/>
        <w:jc w:val="center"/>
      </w:pPr>
      <w:r>
        <w:rPr>
          <w:rFonts w:ascii="Times New Roman" w:cs="Times New Roman" w:eastAsia="Times New Roman" w:hAnsi="Times New Roman"/>
          <w:i/>
          <w:iCs/>
          <w:sz w:val="22"/>
          <w:szCs w:val="22"/>
        </w:rPr>
        <w:t xml:space="preserve">Table 5: Transfer matrix, PGD ε = 0.1. Diagonal is white-box.</w:t>
      </w:r>
    </w:p>
    <w:p>
      <w:pPr>
        <w:spacing w:after="120" w:line="360"/>
        <w:jc w:val="both"/>
      </w:pPr>
      <w:r>
        <w:rPr>
          <w:rFonts w:ascii="Times New Roman" w:cs="Times New Roman" w:eastAsia="Times New Roman" w:hAnsi="Times New Roman"/>
          <w:sz w:val="24"/>
          <w:szCs w:val="24"/>
        </w:rPr>
        <w:t xml:space="preserve">Calibration and base rate. Temperature scaling (T = 0.74) reduces expected calibration error from 0.043 to 0.006. Re-weighted to a 99%-benign network, the Hybrid + adversarial training achieves 18.21% precision with 444 false alerts per 10,000 flows; at 99.9% benign, precision falls to 2.16%.</w:t>
      </w:r>
    </w:p>
    <w:p>
      <w:pPr>
        <w:pStyle w:val="Heading1"/>
        <w:spacing w:after="240" w:before="360" w:line="360"/>
      </w:pPr>
      <w:r>
        <w:rPr>
          <w:rFonts w:ascii="Times New Roman" w:cs="Times New Roman" w:eastAsia="Times New Roman" w:hAnsi="Times New Roman"/>
          <w:b/>
          <w:bCs/>
          <w:color w:val="000000"/>
          <w:sz w:val="32"/>
          <w:szCs w:val="32"/>
        </w:rPr>
        <w:t xml:space="preserve">5. Discussion</w:t>
      </w:r>
    </w:p>
    <w:p>
      <w:pPr>
        <w:spacing w:after="120" w:line="360"/>
        <w:jc w:val="both"/>
      </w:pPr>
      <w:r>
        <w:rPr>
          <w:rFonts w:ascii="Times New Roman" w:cs="Times New Roman" w:eastAsia="Times New Roman" w:hAnsi="Times New Roman"/>
          <w:sz w:val="24"/>
          <w:szCs w:val="24"/>
        </w:rPr>
        <w:t xml:space="preserve">Interpretation. Three findings carry the chapter. First, on clean synthetic data the engineered statistics, once they include obfuscation-specific features, are as informative as the raw sequence: the forest matches the hybrid and beats the plain CNN. The convolution's advantage is not accuracy. Second, the threat model matters more than the attack algorithm: the same PGD loses a large fraction of its power when restricted to pad-only and delay-only edits, and the packet-space attack, which cannot cheat at all, is a lower bound that the gradient attacks should be read against. Third, adversarial training buys robustness at a clean-accuracy cost that is measurable and modest, and the defended model's false-positive rate, not its accuracy, is what decides whether it could be deployed.</w:t>
      </w:r>
    </w:p>
    <w:p>
      <w:pPr>
        <w:spacing w:after="120" w:line="360"/>
        <w:jc w:val="both"/>
      </w:pPr>
      <w:r>
        <w:rPr>
          <w:rFonts w:ascii="Times New Roman" w:cs="Times New Roman" w:eastAsia="Times New Roman" w:hAnsi="Times New Roman"/>
          <w:sz w:val="24"/>
          <w:szCs w:val="24"/>
        </w:rPr>
        <w:t xml:space="preserve">Strengths. Exact labels with recorded recipes; an obfuscated-benign class; attacks that respect physics; a gradient-free attack as a check on gradient masking; a single training loop for defended and undefended models so the difference is the defense alone; calibration and base-rate reporting; full reproducibility from one configuration file and seed, with 230+ tests guarding the data and attack invariants.</w:t>
      </w:r>
    </w:p>
    <w:p>
      <w:pPr>
        <w:spacing w:after="120" w:line="360"/>
        <w:jc w:val="both"/>
      </w:pPr>
      <w:r>
        <w:rPr>
          <w:rFonts w:ascii="Times New Roman" w:cs="Times New Roman" w:eastAsia="Times New Roman" w:hAnsi="Times New Roman"/>
          <w:sz w:val="24"/>
          <w:szCs w:val="24"/>
        </w:rPr>
        <w:t xml:space="preserve">Limitations. The data are synthetic, so absolute accuracy is an upper bound and conclusions should be read relatively. The statistics-space gradient attack perturbs aggregates that are not all jointly realisable; the packet-space attack is the corrective. The black-box search is greedy, so its evasion rate is a lower bound. Adversarial training was run against one attack configuration. Results are from a single seed; a three-seed variance script exists and should precede any claim that one model beats another. Training sees only the first 128 packets, although sliding-window inference covers longer flows.</w:t>
      </w:r>
    </w:p>
    <w:p>
      <w:pPr>
        <w:spacing w:after="120" w:line="360"/>
        <w:jc w:val="both"/>
      </w:pPr>
      <w:r>
        <w:rPr>
          <w:rFonts w:ascii="Times New Roman" w:cs="Times New Roman" w:eastAsia="Times New Roman" w:hAnsi="Times New Roman"/>
          <w:sz w:val="24"/>
          <w:szCs w:val="24"/>
        </w:rPr>
        <w:t xml:space="preserve">Contribution. The chapter contributes a reproducible pipeline and an evaluation discipline for obfuscated-traffic detection: apply the obfuscation yourself, include obfuscated benign traffic, constrain the adversary to its physical means, check with a problem-space attack, and report at deployment base rates.</w:t>
      </w:r>
    </w:p>
    <w:p>
      <w:pPr>
        <w:pStyle w:val="Heading1"/>
        <w:spacing w:after="240" w:before="360" w:line="360"/>
      </w:pPr>
      <w:r>
        <w:rPr>
          <w:rFonts w:ascii="Times New Roman" w:cs="Times New Roman" w:eastAsia="Times New Roman" w:hAnsi="Times New Roman"/>
          <w:b/>
          <w:bCs/>
          <w:color w:val="000000"/>
          <w:sz w:val="32"/>
          <w:szCs w:val="32"/>
        </w:rPr>
        <w:t xml:space="preserve">6. Applications</w:t>
      </w:r>
    </w:p>
    <w:p>
      <w:pPr>
        <w:pStyle w:val="ListParagraph"/>
        <w:numPr>
          <w:ilvl w:val="0"/>
          <w:numId w:val="2"/>
        </w:numPr>
        <w:spacing w:after="60" w:line="360"/>
      </w:pPr>
      <w:r>
        <w:rPr>
          <w:rFonts w:ascii="Times New Roman" w:cs="Times New Roman" w:eastAsia="Times New Roman" w:hAnsi="Times New Roman"/>
          <w:sz w:val="24"/>
          <w:szCs w:val="24"/>
        </w:rPr>
        <w:t xml:space="preserve">Encrypted-traffic intrusion detection at a network boundary, compatible with TLS and VPNs and without decrypting user traffic.</w:t>
      </w:r>
    </w:p>
    <w:p>
      <w:pPr>
        <w:pStyle w:val="ListParagraph"/>
        <w:numPr>
          <w:ilvl w:val="0"/>
          <w:numId w:val="2"/>
        </w:numPr>
        <w:spacing w:after="60" w:line="360"/>
      </w:pPr>
      <w:r>
        <w:rPr>
          <w:rFonts w:ascii="Times New Roman" w:cs="Times New Roman" w:eastAsia="Times New Roman" w:hAnsi="Times New Roman"/>
          <w:sz w:val="24"/>
          <w:szCs w:val="24"/>
        </w:rPr>
        <w:t xml:space="preserve">Command-and-control beacon and exfiltration detection in enterprise SOCs, where the periodicity and asymmetry features carry the signal.</w:t>
      </w:r>
    </w:p>
    <w:p>
      <w:pPr>
        <w:pStyle w:val="ListParagraph"/>
        <w:numPr>
          <w:ilvl w:val="0"/>
          <w:numId w:val="2"/>
        </w:numPr>
        <w:spacing w:after="60" w:line="360"/>
      </w:pPr>
      <w:r>
        <w:rPr>
          <w:rFonts w:ascii="Times New Roman" w:cs="Times New Roman" w:eastAsia="Times New Roman" w:hAnsi="Times New Roman"/>
          <w:sz w:val="24"/>
          <w:szCs w:val="24"/>
        </w:rPr>
        <w:t xml:space="preserve">Robustness auditing of any flow-based detector: the constrained attack suite and the packet-space attack can be pointed at a third-party model through the common forward(sequence, statistics) interface.</w:t>
      </w:r>
    </w:p>
    <w:p>
      <w:pPr>
        <w:pStyle w:val="ListParagraph"/>
        <w:numPr>
          <w:ilvl w:val="0"/>
          <w:numId w:val="2"/>
        </w:numPr>
        <w:spacing w:after="60" w:line="360"/>
      </w:pPr>
      <w:r>
        <w:rPr>
          <w:rFonts w:ascii="Times New Roman" w:cs="Times New Roman" w:eastAsia="Times New Roman" w:hAnsi="Times New Roman"/>
          <w:sz w:val="24"/>
          <w:szCs w:val="24"/>
        </w:rPr>
        <w:t xml:space="preserve">Labelled-data generation for detector training where captures cannot be shared, since the simulator reproduces from a seed.</w:t>
      </w:r>
    </w:p>
    <w:p>
      <w:pPr>
        <w:spacing w:after="120" w:line="360"/>
        <w:jc w:val="both"/>
      </w:pPr>
      <w:r>
        <w:rPr>
          <w:rFonts w:ascii="Times New Roman" w:cs="Times New Roman" w:eastAsia="Times New Roman" w:hAnsi="Times New Roman"/>
          <w:sz w:val="24"/>
          <w:szCs w:val="24"/>
        </w:rPr>
        <w:t xml:space="preserve">Extensions: validation on real captures through the tshark per-packet route the loader already supports; stronger black-box search (NES, SimBA); TRADES-style training and a sweep over the adversarial ratio; a transformer over the packet sequence; certified smoothing bounds; and training at realistic class prevalence.</w:t>
      </w:r>
    </w:p>
    <w:p>
      <w:pPr>
        <w:pStyle w:val="Heading1"/>
        <w:spacing w:after="240" w:before="360" w:line="360"/>
      </w:pPr>
      <w:r>
        <w:rPr>
          <w:rFonts w:ascii="Times New Roman" w:cs="Times New Roman" w:eastAsia="Times New Roman" w:hAnsi="Times New Roman"/>
          <w:b/>
          <w:bCs/>
          <w:color w:val="000000"/>
          <w:sz w:val="32"/>
          <w:szCs w:val="32"/>
        </w:rPr>
        <w:t xml:space="preserve">7. Conclusion</w:t>
      </w:r>
    </w:p>
    <w:p>
      <w:pPr>
        <w:spacing w:after="120" w:line="360"/>
        <w:jc w:val="both"/>
      </w:pPr>
      <w:r>
        <w:rPr>
          <w:rFonts w:ascii="Times New Roman" w:cs="Times New Roman" w:eastAsia="Times New Roman" w:hAnsi="Times New Roman"/>
          <w:sz w:val="24"/>
          <w:szCs w:val="24"/>
        </w:rPr>
        <w:t xml:space="preserve">We built a three-class detector for obfuscated malicious network traffic from flow shape alone and evaluated it against an adversary constrained to what it can physically do. The hybrid CNN+MLP reaches 96.88% accuracy and 94.24% obfuscated recall, tying a random forest on engineered statistics; the per-technique analysis exposes where it is weak; the constrained-versus-unconstrained comparison quantifies how much a naive evaluation would have overstated the threat; adversarial training buys measurable robustness at a measured cost. The key takeaways are that obfuscation-specific features are worth engineering, that the obfuscated class overlaps benign traffic and that is where all the difficulty lives, and that in security the threat model matters more than the attack algorithm. Future work is validation on real captures, multi-seed variance, stronger black-box search and principled robust training objectives.</w:t>
      </w:r>
    </w:p>
    <w:p>
      <w:pPr>
        <w:pStyle w:val="Heading1"/>
        <w:spacing w:after="240" w:before="360" w:line="360"/>
      </w:pPr>
      <w:r>
        <w:rPr>
          <w:rFonts w:ascii="Times New Roman" w:cs="Times New Roman" w:eastAsia="Times New Roman" w:hAnsi="Times New Roman"/>
          <w:b/>
          <w:bCs/>
          <w:color w:val="000000"/>
          <w:sz w:val="32"/>
          <w:szCs w:val="32"/>
        </w:rPr>
        <w:t xml:space="preserve">References</w:t>
      </w:r>
    </w:p>
    <w:p>
      <w:pPr>
        <w:spacing w:after="100" w:line="276"/>
        <w:ind w:left="560" w:hanging="560"/>
      </w:pPr>
      <w:r>
        <w:rPr>
          <w:rFonts w:ascii="Times New Roman" w:cs="Times New Roman" w:eastAsia="Times New Roman" w:hAnsi="Times New Roman"/>
          <w:sz w:val="22"/>
          <w:szCs w:val="22"/>
        </w:rPr>
        <w:t xml:space="preserve">[1] Goodfellow, I. J., Shlens, J., &amp; Szegedy, C. (2015). Explaining and harnessing adversarial examples. ICLR.</w:t>
      </w:r>
    </w:p>
    <w:p>
      <w:pPr>
        <w:spacing w:after="100" w:line="276"/>
        <w:ind w:left="560" w:hanging="560"/>
      </w:pPr>
      <w:r>
        <w:rPr>
          <w:rFonts w:ascii="Times New Roman" w:cs="Times New Roman" w:eastAsia="Times New Roman" w:hAnsi="Times New Roman"/>
          <w:sz w:val="22"/>
          <w:szCs w:val="22"/>
        </w:rPr>
        <w:t xml:space="preserve">[2] Madry, A., Makelov, A., Schmidt, L., Tsipras, D., &amp; Vladu, A. (2018). Towards deep learning models resistant to adversarial attacks. ICLR.</w:t>
      </w:r>
    </w:p>
    <w:p>
      <w:pPr>
        <w:spacing w:after="100" w:line="276"/>
        <w:ind w:left="560" w:hanging="560"/>
      </w:pPr>
      <w:r>
        <w:rPr>
          <w:rFonts w:ascii="Times New Roman" w:cs="Times New Roman" w:eastAsia="Times New Roman" w:hAnsi="Times New Roman"/>
          <w:sz w:val="22"/>
          <w:szCs w:val="22"/>
        </w:rPr>
        <w:t xml:space="preserve">[3] Carlini, N., &amp; Wagner, D. (2017). Towards evaluating the robustness of neural networks. IEEE S&amp;P, 39-57.</w:t>
      </w:r>
    </w:p>
    <w:p>
      <w:pPr>
        <w:spacing w:after="100" w:line="276"/>
        <w:ind w:left="560" w:hanging="560"/>
      </w:pPr>
      <w:r>
        <w:rPr>
          <w:rFonts w:ascii="Times New Roman" w:cs="Times New Roman" w:eastAsia="Times New Roman" w:hAnsi="Times New Roman"/>
          <w:sz w:val="22"/>
          <w:szCs w:val="22"/>
        </w:rPr>
        <w:t xml:space="preserve">[4] Papernot, N., McDaniel, P., &amp; Goodfellow, I. (2016). Transferability in machine learning. arXiv:1605.07277.</w:t>
      </w:r>
    </w:p>
    <w:p>
      <w:pPr>
        <w:spacing w:after="100" w:line="276"/>
        <w:ind w:left="560" w:hanging="560"/>
      </w:pPr>
      <w:r>
        <w:rPr>
          <w:rFonts w:ascii="Times New Roman" w:cs="Times New Roman" w:eastAsia="Times New Roman" w:hAnsi="Times New Roman"/>
          <w:sz w:val="22"/>
          <w:szCs w:val="22"/>
        </w:rPr>
        <w:t xml:space="preserve">[5] Athalye, A., Carlini, N., &amp; Wagner, D. (2018). Obfuscated gradients give a false sense of security. ICML.</w:t>
      </w:r>
    </w:p>
    <w:p>
      <w:pPr>
        <w:spacing w:after="100" w:line="276"/>
        <w:ind w:left="560" w:hanging="560"/>
      </w:pPr>
      <w:r>
        <w:rPr>
          <w:rFonts w:ascii="Times New Roman" w:cs="Times New Roman" w:eastAsia="Times New Roman" w:hAnsi="Times New Roman"/>
          <w:sz w:val="22"/>
          <w:szCs w:val="22"/>
        </w:rPr>
        <w:t xml:space="preserve">[6] Cohen, J., Rosenfeld, E., &amp; Kolter, Z. (2019). Certified adversarial robustness via randomized smoothing. ICML.</w:t>
      </w:r>
    </w:p>
    <w:p>
      <w:pPr>
        <w:spacing w:after="100" w:line="276"/>
        <w:ind w:left="560" w:hanging="560"/>
      </w:pPr>
      <w:r>
        <w:rPr>
          <w:rFonts w:ascii="Times New Roman" w:cs="Times New Roman" w:eastAsia="Times New Roman" w:hAnsi="Times New Roman"/>
          <w:sz w:val="22"/>
          <w:szCs w:val="22"/>
        </w:rPr>
        <w:t xml:space="preserve">[7] Guo, C., Pleiss, G., Sun, Y., &amp; Weinberger, K. Q. (2017). On calibration of modern neural networks. ICML.</w:t>
      </w:r>
    </w:p>
    <w:p>
      <w:pPr>
        <w:spacing w:after="100" w:line="276"/>
        <w:ind w:left="560" w:hanging="560"/>
      </w:pPr>
      <w:r>
        <w:rPr>
          <w:rFonts w:ascii="Times New Roman" w:cs="Times New Roman" w:eastAsia="Times New Roman" w:hAnsi="Times New Roman"/>
          <w:sz w:val="22"/>
          <w:szCs w:val="22"/>
        </w:rPr>
        <w:t xml:space="preserve">[8] Pierazzi, F., Pendlebury, F., Cortellazzi, J., &amp; Cavallaro, L. (2020). Intriguing properties of adversarial ML attacks in the problem space. IEEE S&amp;P.</w:t>
      </w:r>
    </w:p>
    <w:p>
      <w:pPr>
        <w:spacing w:after="100" w:line="276"/>
        <w:ind w:left="560" w:hanging="560"/>
      </w:pPr>
      <w:r>
        <w:rPr>
          <w:rFonts w:ascii="Times New Roman" w:cs="Times New Roman" w:eastAsia="Times New Roman" w:hAnsi="Times New Roman"/>
          <w:sz w:val="22"/>
          <w:szCs w:val="22"/>
        </w:rPr>
        <w:t xml:space="preserve">[9] Apruzzese, G., Andreolini, M., Ferretti, L., Marchetti, M., &amp; Colajanni, M. (2022). Modeling realistic adversarial attacks against network intrusion detection systems. Digital Threats: Research and Practice, 3(3).</w:t>
      </w:r>
    </w:p>
    <w:p>
      <w:pPr>
        <w:spacing w:after="100" w:line="276"/>
        <w:ind w:left="560" w:hanging="560"/>
      </w:pPr>
      <w:r>
        <w:rPr>
          <w:rFonts w:ascii="Times New Roman" w:cs="Times New Roman" w:eastAsia="Times New Roman" w:hAnsi="Times New Roman"/>
          <w:sz w:val="22"/>
          <w:szCs w:val="22"/>
        </w:rPr>
        <w:t xml:space="preserve">[10] Wang, W., Zhu, M., Zeng, X., Ye, X., &amp; Sheng, Y. (2017). Malware traffic classification using convolutional neural network for representation learning. ICOIN, 712-717.</w:t>
      </w:r>
    </w:p>
    <w:p>
      <w:pPr>
        <w:spacing w:after="100" w:line="276"/>
        <w:ind w:left="560" w:hanging="560"/>
      </w:pPr>
      <w:r>
        <w:rPr>
          <w:rFonts w:ascii="Times New Roman" w:cs="Times New Roman" w:eastAsia="Times New Roman" w:hAnsi="Times New Roman"/>
          <w:sz w:val="22"/>
          <w:szCs w:val="22"/>
        </w:rPr>
        <w:t xml:space="preserve">[11] Lotfollahi, M., Jafari Siavoshani, M., Shirali Hossein Zade, R., &amp; Saberian, M. (2020). Deep Packet: A novel approach for encrypted traffic classification using deep learning. Soft Computing, 24, 1999-2012.</w:t>
      </w:r>
    </w:p>
    <w:p>
      <w:pPr>
        <w:spacing w:after="100" w:line="276"/>
        <w:ind w:left="560" w:hanging="560"/>
      </w:pPr>
      <w:r>
        <w:rPr>
          <w:rFonts w:ascii="Times New Roman" w:cs="Times New Roman" w:eastAsia="Times New Roman" w:hAnsi="Times New Roman"/>
          <w:sz w:val="22"/>
          <w:szCs w:val="22"/>
        </w:rPr>
        <w:t xml:space="preserve">[12] Aceto, G., Ciuonzo, D., Montieri, A., &amp; Pescape, A. (2019). MIMETIC: Mobile encrypted traffic classification using multimodal deep learning. Computer Networks, 165.</w:t>
      </w:r>
    </w:p>
    <w:p>
      <w:pPr>
        <w:spacing w:after="100" w:line="276"/>
        <w:ind w:left="560" w:hanging="560"/>
      </w:pPr>
      <w:r>
        <w:rPr>
          <w:rFonts w:ascii="Times New Roman" w:cs="Times New Roman" w:eastAsia="Times New Roman" w:hAnsi="Times New Roman"/>
          <w:sz w:val="22"/>
          <w:szCs w:val="22"/>
        </w:rPr>
        <w:t xml:space="preserve">[13] Sirinam, P., Imani, M., Juarez, M., &amp; Wright, M. (2018). Deep Fingerprinting: Undermining website fingerprinting defenses with deep learning. ACM CCS, 1928-1943.</w:t>
      </w:r>
    </w:p>
    <w:p>
      <w:pPr>
        <w:spacing w:after="100" w:line="276"/>
        <w:ind w:left="560" w:hanging="560"/>
      </w:pPr>
      <w:r>
        <w:rPr>
          <w:rFonts w:ascii="Times New Roman" w:cs="Times New Roman" w:eastAsia="Times New Roman" w:hAnsi="Times New Roman"/>
          <w:sz w:val="22"/>
          <w:szCs w:val="22"/>
        </w:rPr>
        <w:t xml:space="preserve">[14] Rimmer, V., Preuveneers, D., Juarez, M., Van Goethem, T., &amp; Joosen, W. (2018). Automated website fingerprinting through deep learning. NDSS.</w:t>
      </w:r>
    </w:p>
    <w:p>
      <w:pPr>
        <w:spacing w:after="100" w:line="276"/>
        <w:ind w:left="560" w:hanging="560"/>
      </w:pPr>
      <w:r>
        <w:rPr>
          <w:rFonts w:ascii="Times New Roman" w:cs="Times New Roman" w:eastAsia="Times New Roman" w:hAnsi="Times New Roman"/>
          <w:sz w:val="22"/>
          <w:szCs w:val="22"/>
        </w:rPr>
        <w:t xml:space="preserve">[15] Dyer, K. P., Coull, S. E., Ristenpart, T., &amp; Shrimpton, T. (2012). Peek-a-Boo, I still see you: Why efficient traffic analysis countermeasures fail. IEEE S&amp;P, 332-346.</w:t>
      </w:r>
    </w:p>
    <w:p>
      <w:pPr>
        <w:spacing w:after="100" w:line="276"/>
        <w:ind w:left="560" w:hanging="560"/>
      </w:pPr>
      <w:r>
        <w:rPr>
          <w:rFonts w:ascii="Times New Roman" w:cs="Times New Roman" w:eastAsia="Times New Roman" w:hAnsi="Times New Roman"/>
          <w:sz w:val="22"/>
          <w:szCs w:val="22"/>
        </w:rPr>
        <w:t xml:space="preserve">[16] Wright, C. V., Coull, S. E., &amp; Monrose, F. (2009). Traffic morphing: An efficient defense against statistical traffic analysis. NDSS.</w:t>
      </w:r>
    </w:p>
    <w:p>
      <w:pPr>
        <w:spacing w:after="100" w:line="276"/>
        <w:ind w:left="560" w:hanging="560"/>
      </w:pPr>
      <w:r>
        <w:rPr>
          <w:rFonts w:ascii="Times New Roman" w:cs="Times New Roman" w:eastAsia="Times New Roman" w:hAnsi="Times New Roman"/>
          <w:sz w:val="22"/>
          <w:szCs w:val="22"/>
        </w:rPr>
        <w:t xml:space="preserve">[17] Nasr, M., Bahramali, A., &amp; Houmansadr, A. (2021). Defeating DNN-based traffic analysis systems in real-time with blind adversarial perturbations. USENIX Security.</w:t>
      </w:r>
    </w:p>
    <w:p>
      <w:pPr>
        <w:spacing w:after="100" w:line="276"/>
        <w:ind w:left="560" w:hanging="560"/>
      </w:pPr>
      <w:r>
        <w:rPr>
          <w:rFonts w:ascii="Times New Roman" w:cs="Times New Roman" w:eastAsia="Times New Roman" w:hAnsi="Times New Roman"/>
          <w:sz w:val="22"/>
          <w:szCs w:val="22"/>
        </w:rPr>
        <w:t xml:space="preserve">[18] Sharafaldin, I., Lashkari, A. H., &amp; Ghorbani, A. A. (2018). Toward generating a new intrusion detection dataset and intrusion traffic characterization. ICISSP, 108-116.</w:t>
      </w:r>
    </w:p>
    <w:p>
      <w:pPr>
        <w:spacing w:after="100" w:line="276"/>
        <w:ind w:left="560" w:hanging="560"/>
      </w:pPr>
      <w:r>
        <w:rPr>
          <w:rFonts w:ascii="Times New Roman" w:cs="Times New Roman" w:eastAsia="Times New Roman" w:hAnsi="Times New Roman"/>
          <w:sz w:val="22"/>
          <w:szCs w:val="22"/>
        </w:rPr>
        <w:t xml:space="preserve">[19] Moustafa, N., &amp; Slay, J. (2015). UNSW-NB15: A comprehensive data set for network intrusion detection systems. MilCIS.</w:t>
      </w:r>
    </w:p>
    <w:p>
      <w:pPr>
        <w:spacing w:after="100" w:line="276"/>
        <w:ind w:left="560" w:hanging="560"/>
      </w:pPr>
      <w:r>
        <w:rPr>
          <w:rFonts w:ascii="Times New Roman" w:cs="Times New Roman" w:eastAsia="Times New Roman" w:hAnsi="Times New Roman"/>
          <w:sz w:val="22"/>
          <w:szCs w:val="22"/>
        </w:rPr>
        <w:t xml:space="preserve">[20] Draper-Gil, G., Lashkari, A. H., Mamun, M. S. I., &amp; Ghorbani, A. A. (2016). Characterization of encrypted and VPN traffic using time-related features. ICISSP, 407-414.</w:t>
      </w:r>
    </w:p>
    <w:p>
      <w:pPr>
        <w:spacing w:after="100" w:line="276"/>
        <w:ind w:left="560" w:hanging="560"/>
      </w:pPr>
      <w:r>
        <w:rPr>
          <w:rFonts w:ascii="Times New Roman" w:cs="Times New Roman" w:eastAsia="Times New Roman" w:hAnsi="Times New Roman"/>
          <w:sz w:val="22"/>
          <w:szCs w:val="22"/>
        </w:rPr>
        <w:t xml:space="preserve">[21] Sommer, R., &amp; Paxson, V. (2010). Outside the closed world: On using machine learning for network intrusion detection. IEEE S&amp;P, 305-316.</w:t>
      </w:r>
    </w:p>
    <w:p>
      <w:pPr>
        <w:spacing w:after="100" w:line="276"/>
        <w:ind w:left="560" w:hanging="560"/>
      </w:pPr>
      <w:r>
        <w:rPr>
          <w:rFonts w:ascii="Times New Roman" w:cs="Times New Roman" w:eastAsia="Times New Roman" w:hAnsi="Times New Roman"/>
          <w:sz w:val="22"/>
          <w:szCs w:val="22"/>
        </w:rPr>
        <w:t xml:space="preserve">[22] Paszke, A., et al. (2019). PyTorch: An imperative style, high-performance deep learning library. NeurIPS.</w:t>
      </w:r>
    </w:p>
    <w:p>
      <w:pPr>
        <w:spacing w:after="100" w:line="276"/>
        <w:ind w:left="560" w:hanging="560"/>
      </w:pPr>
      <w:r>
        <w:rPr>
          <w:rFonts w:ascii="Times New Roman" w:cs="Times New Roman" w:eastAsia="Times New Roman" w:hAnsi="Times New Roman"/>
          <w:sz w:val="22"/>
          <w:szCs w:val="22"/>
        </w:rPr>
        <w:t xml:space="preserve">[23] Pedregosa, F., et al. (2011). Scikit-learn: Machine learning in Python. JMLR, 12, 2825-2830.</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98ff316d4d559e570608326005073a809639e0b.png"/><Relationship Id="rId9" Type="http://schemas.openxmlformats.org/officeDocument/2006/relationships/image" Target="media/b0db10e51a360d392339fd592d592a4f3d95d199.png"/><Relationship Id="rId10" Type="http://schemas.openxmlformats.org/officeDocument/2006/relationships/image" Target="media/175c6806db82f57303f004d9593df37c1013726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the Shape of a Flow</dc:title>
  <dc:creator>Vivek Neeralagi, Muhammad Shahbik, Aravind P Sagar, J Aditya</dc:creator>
  <cp:lastModifiedBy>Un-named</cp:lastModifiedBy>
  <cp:revision>1</cp:revision>
  <dcterms:created xsi:type="dcterms:W3CDTF">2026-09-17T01:34:42.552Z</dcterms:created>
  <dcterms:modified xsi:type="dcterms:W3CDTF">2026-09-17T01:34:42.553Z</dcterms:modified>
</cp:coreProperties>
</file>

<file path=docProps/custom.xml><?xml version="1.0" encoding="utf-8"?>
<Properties xmlns="http://schemas.openxmlformats.org/officeDocument/2006/custom-properties" xmlns:vt="http://schemas.openxmlformats.org/officeDocument/2006/docPropsVTypes"/>
</file>