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ind w:left="144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4"/>
          <w:szCs w:val="44"/>
          <w:rtl w:val="0"/>
        </w:rPr>
        <w:t xml:space="preserve">Medical Data Standardisatio</w:t>
      </w: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Business Case</w:t>
      </w:r>
      <w:r w:rsidDel="00000000" w:rsidR="00000000" w:rsidRPr="00000000">
        <w:rPr>
          <w:rtl w:val="0"/>
        </w:rPr>
        <w:t xml:space="preserve"> - Veritas Claims</w:t>
      </w:r>
    </w:p>
    <w:p w:rsidR="00000000" w:rsidDel="00000000" w:rsidP="00000000" w:rsidRDefault="00000000" w:rsidRPr="00000000" w14:paraId="00000003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 About </w:t>
      </w:r>
      <w:r w:rsidDel="00000000" w:rsidR="00000000" w:rsidRPr="00000000">
        <w:rPr>
          <w:rtl w:val="0"/>
        </w:rPr>
        <w:t xml:space="preserve">Veritas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Claims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color w:val="1a1a1a"/>
          <w:rtl w:val="0"/>
        </w:rPr>
        <w:t xml:space="preserve">Veritas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Claims</w:t>
      </w: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is a health insurance claims processing company that sits at the intersection of healthcare providers and insurance payors. Every day, the company ingests and adjudicates over 200,000 medical reports submitted by a nationwide network of clinics, hospitals, and diagnostic labs — each operating on their own systems with their own data conventions.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1.2 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When a patient is discharged or undergoes a diagnostic test, the clinic generates a medical report and transmits it as a JSON file to </w:t>
      </w:r>
      <w:r w:rsidDel="00000000" w:rsidR="00000000" w:rsidRPr="00000000">
        <w:rPr>
          <w:color w:val="1a1a1a"/>
          <w:rtl w:val="0"/>
        </w:rPr>
        <w:t xml:space="preserve">Veritas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Claim's ingestion layer. On paper, this is straightforward. In practice, it is a data quality nightmare.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What 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Veritas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Claims Receives Every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200,000+ JSON files from 500+ clinics across the country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Each clinic uses its own field names, units, date formats, and test naming conventions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Duplicate reports — the same patient's discharge summary submitted twice from different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Mixed data types — a result field may contain '120000 cells/cu.mm' or just '120000' or 'NEGATIVE'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Brand-name medications that need to be resolved to their generic equivalents for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downstream consequences are severe: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Claims analysts cannot compare lab values across clinics because 'Haemoglobin' and 'Hemoglobin' are treated as different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Automated adjudication rules fail on non-numeric result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Outlier lab values slip through undetected, causing incorrect claim 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Regulatory reporting is inconsistent because age, gender, and date fields are not standardised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1.3  The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color w:val="1a1a1a"/>
          <w:rtl w:val="0"/>
        </w:rPr>
        <w:t xml:space="preserve">Veritas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Claims needs a scalable, intelligent data pipeline that can ingest raw JSON medical reports from any clinic, standardise them into a clean canonical schema, validate results against medically accepted reference ranges, and load the structured data into an analytics database — all with zero manual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pipeline must be designed to handle today's 200k daily volume and scale to accommodate new clinic onboarding without code changes. It must also provide a lightweight UI for operations teams to monitor pipeline health, inspect flagged records, and review outliers.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Why This Matters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Faster claim adjudication → improved cash flow and customer satisfaction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Consistent data → accurate fraud detection and risk modelling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Scalable onboarding → more clinics processed without growing the ops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Regulatory confidence → clean, auditable records for compliance reporting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 Functional Requirements - to be implemented in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FR-1: Data Ingestion</w:t>
      </w: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5"/>
        <w:gridCol w:w="5925"/>
        <w:gridCol w:w="1275"/>
        <w:tblGridChange w:id="0">
          <w:tblGrid>
            <w:gridCol w:w="2145"/>
            <w:gridCol w:w="5925"/>
            <w:gridCol w:w="1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FR-1.1  Multi-source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Read JSON files from a GCS bucket (or equivalent cloud object store). Support batch ingestion triggered on file arrival or on a schedule.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FR-1.2  Duplicate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Identify and suppress duplicate records — e.g., the same patient discharge summary submitted more than once. Deduplication logic must be configurable.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FR-1.3  Schema 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Accept JSON files with varying field names and structures across different clinics without requiring schema changes in the pipeline.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FR-2: Data Standardisation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5"/>
        <w:gridCol w:w="5940"/>
        <w:gridCol w:w="1260"/>
        <w:tblGridChange w:id="0">
          <w:tblGrid>
            <w:gridCol w:w="2145"/>
            <w:gridCol w:w="594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Required/Optional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FR-2.1  Test Name Normalisation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Map non-standard, misspelled, or variant test names to a canonical name. Example: Haemoglobin / Hemoglobin / aemoglobin → Hemoglobin. Use a configurable lookup/fuzzy-match 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FR-2.2  Fixed Column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For each defined test, produce exactly 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 columns: Test_Name, Test_Name_Result, Test_Name_Range, Test_Name_Unit, Test_Name_Analytics. If a test is absent from a report, leave the columns blank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FR-2.3  Numeric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Convert result fields to numeric values wherever applicable. Example: '120000 cells/cu.mm' → 120000. Handle mixed text+numeric, combined multi-value strings, and null/missing values gracefully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FR-2.4  Unit Harmonisation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Standardise units for the same test across different clinics. Example: mil/cu.mm vs mil/cu.cm must resolve to a canonical unit with appropriate value conversion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FR-2.5  Demographic Normalisation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Standardize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 age (e.g. '33Y11M265D' → structured age), gender (M / Male → canonical form), and date fields (multiple formats → ISO 8601)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Optional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FR-2.6  Medicine Name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Map brand-name medications to their generic equivalents using a maintained reference dictionary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FR-3: Validation &amp; Analytics Flags</w:t>
      </w: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5"/>
        <w:gridCol w:w="5955"/>
        <w:gridCol w:w="1245"/>
        <w:tblGridChange w:id="0">
          <w:tblGrid>
            <w:gridCol w:w="2145"/>
            <w:gridCol w:w="5955"/>
            <w:gridCol w:w="1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FR-3.1  Range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Validate each numeric test result against medically accepted reference ranges. Flag values that are outside the range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FR-3.2  Outlier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Identify and flag extreme or physiologically implausible values (e.g. haemoglobin of 0.1 or 999) as outliers, separate from 'above/below range'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FR-3.3  Analytics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Populate Test_Name_Analytics with one of: Within Range, Above Range, Below Range, Outlier, or Invalid for each test resul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FR-3.4  Incorrect Value Flagging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Flag results that are non-numeric where numeric is expected, or that contain contradictory data (e.g. a combined field with conflicting values)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FR-4: Output &amp; Storage</w:t>
      </w: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5"/>
        <w:gridCol w:w="5895"/>
        <w:gridCol w:w="1305"/>
        <w:tblGridChange w:id="0">
          <w:tblGrid>
            <w:gridCol w:w="2145"/>
            <w:gridCol w:w="5895"/>
            <w:gridCol w:w="1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FR-4.1  Structured DB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Load the standardised, validated records into a relational or columnar database (e.g. BigQuery, PostgreSQL) in the canonical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FR-4.2  Error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Records that fail processing must be written to an error log / dead-letter store with the reason for failure, for manual review or reprocessin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FR-4.3 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Retain the original raw JSON alongside the transformed record so that any standardisation decision can be audited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FR-5: Operational UI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5895"/>
        <w:gridCol w:w="1290"/>
        <w:tblGridChange w:id="0">
          <w:tblGrid>
            <w:gridCol w:w="2160"/>
            <w:gridCol w:w="5895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FR-5.1  Pipeline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 lightweight web UI showing daily ingestion stats: total files received, processed, failed, and flagged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FR-5.2  Record Inspector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Ability to search and view individual patient records — raw JSON alongside the standardised output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FR-5.3  Flagged Records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 queue of records with validation flags (outliers, out-of-range, errors) for ops team review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FR-5.4  Clinic-level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Per-clinic data quality metrics: duplicate rate, error rate, missing-field rate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 Non-Functional Requirements - to be explained via diagrams and tech/concept notes and references describing the tools, technology and approach to be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NFR-1: Scale &amp; Performance</w:t>
      </w:r>
      <w:r w:rsidDel="00000000" w:rsidR="00000000" w:rsidRPr="00000000">
        <w:rPr>
          <w:rtl w:val="0"/>
        </w:rPr>
      </w:r>
    </w:p>
    <w:tbl>
      <w:tblPr>
        <w:tblStyle w:val="Table8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5"/>
        <w:gridCol w:w="5925"/>
        <w:gridCol w:w="1275"/>
        <w:tblGridChange w:id="0">
          <w:tblGrid>
            <w:gridCol w:w="2145"/>
            <w:gridCol w:w="5925"/>
            <w:gridCol w:w="1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NFR-1.1  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Process 200,000 JSON files per day at steady state. Must handle burst volumes of up to 2x (400k/day) without pipeline failure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 - optional for assignment/instead explain in the architecture or during 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NFR-1.2 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End-to-end latency from file landing in GCS to record available in the database must not exceed 15 minutes for 95th percentile of records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 - optional for assignment/instead explain in the architecture or during 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NFR-1.3  Horizontal 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Processing components must scale horizontally. Adding new workers should linearly increase throughput without architectural changes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 - optional for assignment/instead explain in the architecture or during 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NFR-2: Clinic Onboarding</w:t>
      </w:r>
      <w:r w:rsidDel="00000000" w:rsidR="00000000" w:rsidRPr="00000000">
        <w:rPr>
          <w:rtl w:val="0"/>
        </w:rPr>
      </w:r>
    </w:p>
    <w:tbl>
      <w:tblPr>
        <w:tblStyle w:val="Table9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5"/>
        <w:gridCol w:w="5910"/>
        <w:gridCol w:w="1290"/>
        <w:tblGridChange w:id="0">
          <w:tblGrid>
            <w:gridCol w:w="2145"/>
            <w:gridCol w:w="5910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NFR-2.1  Zero-code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Adding a new clinic must not require code changes. All clinic-specific field mappings, unit conversions, and naming conventions must be configurable via metadata / config files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 - required for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NFR-2.2  Onboarding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 new clinic with a documented JSON schema must be onboardable within 1 business day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 - optional for assignment/instead explain in the architecture or during 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NFR-2.3  Schema 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Support multiple versions of the same clinic's schema if the clinic changes its format over time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 - optional for assignment/instead explain in the architecture or during 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NFR-3: Reliability &amp; Resilience</w:t>
      </w:r>
      <w:r w:rsidDel="00000000" w:rsidR="00000000" w:rsidRPr="00000000">
        <w:rPr>
          <w:rtl w:val="0"/>
        </w:rPr>
      </w:r>
    </w:p>
    <w:tbl>
      <w:tblPr>
        <w:tblStyle w:val="Table1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5"/>
        <w:gridCol w:w="5925"/>
        <w:gridCol w:w="1275"/>
        <w:tblGridChange w:id="0">
          <w:tblGrid>
            <w:gridCol w:w="2145"/>
            <w:gridCol w:w="5925"/>
            <w:gridCol w:w="1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NFR-3.1  Fault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 failure in processing one file must not block processing of other files. Failed records go to a dead-letter queue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NFR-3.2  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Re-running the pipeline on the same input files must produce the same output — no duplicate records in the database.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NFR-3.3 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The pipeline must maintain 99.5% uptime. Planned maintenance windows must not exceed 2 hours per month.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NFR-4: Data Quality &amp; Governance</w:t>
      </w:r>
      <w:r w:rsidDel="00000000" w:rsidR="00000000" w:rsidRPr="00000000">
        <w:rPr>
          <w:rtl w:val="0"/>
        </w:rPr>
      </w:r>
    </w:p>
    <w:tbl>
      <w:tblPr>
        <w:tblStyle w:val="Table1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5"/>
        <w:gridCol w:w="5925"/>
        <w:gridCol w:w="1275"/>
        <w:tblGridChange w:id="0">
          <w:tblGrid>
            <w:gridCol w:w="2145"/>
            <w:gridCol w:w="5925"/>
            <w:gridCol w:w="1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NFR-4.1  Standardisation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At least 98% of test name variants in incoming data must be resolved to canonical names within 30 days of a new clinic going live.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NFR-4.2  Data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Every output record must be traceable to its source file, clinic, and ingestion timestamp.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NFR-4.3  PII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Patient identifiers must be handled in compliance with applicable data privacy regulations. Masking or tokenisation of PII fields must be supported.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NFR-5: Observability</w:t>
      </w:r>
      <w:r w:rsidDel="00000000" w:rsidR="00000000" w:rsidRPr="00000000">
        <w:rPr>
          <w:rtl w:val="0"/>
        </w:rPr>
      </w:r>
    </w:p>
    <w:tbl>
      <w:tblPr>
        <w:tblStyle w:val="Table1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5"/>
        <w:gridCol w:w="5925"/>
        <w:gridCol w:w="1275"/>
        <w:tblGridChange w:id="0">
          <w:tblGrid>
            <w:gridCol w:w="2145"/>
            <w:gridCol w:w="5925"/>
            <w:gridCol w:w="1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NFR-5.1  Monitoring &amp; Alerting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Key pipeline metrics (throughput, error rate, lag) must be exposed to a monitoring system. Alerts fire when error rate exceeds 1% or processing lag exceeds SLA.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NFR-5.2 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All processing steps must emit structured logs with correlation IDs so a single record's journey can be traced end-to-end.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Your submission must include the following three artefacts. Evaluation is equally weighted across solution thinking, code quality, and communication clarity.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 Solution Architecture (Mid-Level clarity)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80" w:lineRule="auto"/>
        <w:rPr>
          <w:b w:val="1"/>
          <w:bCs w:val="1"/>
          <w:color w:val="1a1a1a"/>
        </w:rPr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Produce a solution architecture diagram and an accompanying narrative (max 2 pages) covering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200" w:lineRule="auto"/>
        <w:rPr>
          <w:b w:val="1"/>
          <w:bCs w:val="1"/>
          <w:color w:val="1a1a1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Architecture Must Address the Functional Requirements (FR1-5):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Ingestion layer — how JSON files land from clinics into GCS (or equivalent)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Processing layer — how files are picked up, parsed, standardised,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Storage layer — database choice and schema design for the canonical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Configuration layer — how clinic-specific mappings are stored and applied without code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Error handling — dead-letter queue, alerting, and reprocessing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UI layer — how the operational dashboard is 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200" w:lineRule="auto"/>
        <w:rPr>
          <w:b w:val="1"/>
          <w:bCs w:val="1"/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Additional diagrams, tech/conceptual notes Addressing the Non-Functional Requirements (NFR1-5):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</w:pPr>
      <w:r w:rsidDel="00000000" w:rsidR="00000000" w:rsidRPr="00000000">
        <w:rPr>
          <w:color w:val="1a1a1a"/>
          <w:rtl w:val="0"/>
        </w:rPr>
        <w:t xml:space="preserve">Scale &amp; Performance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</w:pPr>
      <w:r w:rsidDel="00000000" w:rsidR="00000000" w:rsidRPr="00000000">
        <w:rPr>
          <w:color w:val="1a1a1a"/>
          <w:rtl w:val="0"/>
        </w:rPr>
        <w:t xml:space="preserve">Clinic Onboarding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</w:pPr>
      <w:r w:rsidDel="00000000" w:rsidR="00000000" w:rsidRPr="00000000">
        <w:rPr>
          <w:color w:val="1a1a1a"/>
          <w:rtl w:val="0"/>
        </w:rPr>
        <w:t xml:space="preserve">Reliability &amp; Resilience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</w:pPr>
      <w:r w:rsidDel="00000000" w:rsidR="00000000" w:rsidRPr="00000000">
        <w:rPr>
          <w:color w:val="1a1a1a"/>
          <w:rtl w:val="0"/>
        </w:rPr>
        <w:t xml:space="preserve">Data Quality &amp; Governance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</w:pPr>
      <w:r w:rsidDel="00000000" w:rsidR="00000000" w:rsidRPr="00000000">
        <w:rPr>
          <w:color w:val="1a1a1a"/>
          <w:rtl w:val="0"/>
        </w:rPr>
        <w:t xml:space="preserve">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Assumptions to State Explicitly: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Source: JSON files arrive in a GCS bucket, organised by clinic ID and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Database: Parsed, standardised records are loaded into a relational or columnar DB of your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You may use managed cloud services (Data Engineering/Python Runners - Cloud Run</w:t>
      </w:r>
      <w:r w:rsidDel="00000000" w:rsidR="00000000" w:rsidRPr="00000000">
        <w:rPr>
          <w:color w:val="1a1a1a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Dataflow, NLP Algorithms, Gen</w:t>
      </w:r>
      <w:r w:rsidDel="00000000" w:rsidR="00000000" w:rsidRPr="00000000">
        <w:rPr>
          <w:color w:val="1a1a1a"/>
          <w:rtl w:val="0"/>
        </w:rPr>
        <w:t xml:space="preserve">AI/Gemini,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BigQuery, etc.) or open-source equivalents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State any additional assumptions clearly in a section labelled 'Assumptions'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What We Are Evaluating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Can you identify the right architectural patterns for this problem (streaming vs batch, schema-on-read vs schema-on-write)?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Have you thought through the failure modes — what happens when a clinic sends a malformed file?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Is your design genuinely extensible, or would adding a new clinic require developer intervention?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Do you understand the trade-offs you are making (cost, latency, complexity)?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 Working Code with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 a working end-to-end prototype of the pipeline. The scope is scoped for a take-home exercise — use sample JSON files (provided in the assignment folder) as your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Code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-18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000"/>
        <w:gridCol w:w="3160"/>
        <w:tblGridChange w:id="0">
          <w:tblGrid>
            <w:gridCol w:w="2200"/>
            <w:gridCol w:w="4000"/>
            <w:gridCol w:w="3160"/>
          </w:tblGrid>
        </w:tblGridChange>
      </w:tblGrid>
      <w:tr>
        <w:trPr>
          <w:cantSplit w:val="0"/>
          <w:trHeight w:val="154.980468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Evaluation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Ingestion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Reads JSON files from a local folder (simulating GCS). Handles file discovery, basic validation, and passes records downstream.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Handles malformed JSON gracefully; logs errors with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Standardisation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Implements FR-2.1 through FR-2.6: test name normalisation, numeric conversion, unit harmonisation, demographic normalisation, and medicine mapping.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All 6 FR-2.x requirements demonstrably addressed on sample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Validation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Implements FR-3.1 through FR-3.4: range checks, outlier detection, analytics classification.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Test_Name_Analytics populated correctly across a range of test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Database Loader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Loads standardised records into a local SQLite or PostgreSQL database (or BigQuery if preferred). Schema matches canonical column spec.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Idempotent — re-running does not create duplicate 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Operational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 lightweight web interface (any framework) showing: pipeline run summary, flagged records queue, clinic-level quality stats, and record inspector.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UI is functional; does not need to be production-grade but must be usable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Configuration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Clinic mapping configs, test name dictionaries, reference ranges, and medicine name mappings as editable files (JSON/YAML).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Adding a new test or clinic variant requires only a config change, not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Code Quality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Modular, well-commented code — another engineer should be able to understand and extend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README with: setup instructions, architecture summary, key design decisions, known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Unit tests for at least the standardisation and validation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 sample input folder with at least 5 varied JSON files demonstrating different clinic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  Assumptions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Include a structured assumptions document alongside your submission. This is not an afterthought — it is a core part of the evaluation. We want to see how you reason under ambiguity.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Structure Your Assumptions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Business Assumptions — what you assumed about the business context, volume, or process that is not stated explicitly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Technical Assumptions — infrastructure, database, framework, and tooling choices and why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Data Assumptions — how you handled edge cases in the sample data; what you would need to know before going to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Scope Exclusions — what you consciously left out and why, and what it would take to include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Evaluation Note on Assumptions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 candidate who states clear, well-reasoned assumptions scores higher than one who makes the same assumptions silently.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We are not looking for perfection — we are looking for engineering judgment and business awareness.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If you made a simplification to save time, say so, and describe what the production version would look like.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 Evaluation Rubric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Submissions will be evaluated by a panel of senior engineers and a domain lead. The following rubric is provided in the interest of transparency.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5"/>
        <w:gridCol w:w="6225"/>
        <w:gridCol w:w="960"/>
        <w:tblGridChange w:id="0">
          <w:tblGrid>
            <w:gridCol w:w="2175"/>
            <w:gridCol w:w="6225"/>
            <w:gridCol w:w="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We Look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Business Contextualisation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Does the README and assumptions doc show you understand the real-world problem, not just the technical task?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Solution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Is the design sound, extensible, and appropriately scoped? Are trade-offs articulated?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Is the code modular, readable, and tested? Would a teammate be able to extend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Functional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Do all FR-1 to FR-5 requirements have working implementations in the prototype?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Communication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Is documentation clear, concise, and professional? Could a non-technical stakeholder understand the solution?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5. Submission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Submit a single GitHub repository (public or private with access granted to the review panel)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Repository must include: /src (code), /config (mapping files), /sample-data (input JSONs), /docs (architecture diagram + assumptions doc),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80" w:before="80" w:lineRule="auto"/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Recommend diagrams to be drawn using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color w:val="1a1a1a"/>
          <w:rtl w:val="0"/>
        </w:rPr>
        <w:t xml:space="preserve"> and its extract presented in Google Slides align with tech/conceptual notes, architecture description, references,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Time allocation: This assignment is designed for </w:t>
      </w:r>
      <w:r w:rsidDel="00000000" w:rsidR="00000000" w:rsidRPr="00000000">
        <w:rPr>
          <w:color w:val="1a1a1a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color w:val="1a1a1a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hours of focused work. Scope your effort accordingly — a well-reasoned, partially complete solution outscores an overbuilt one with no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Deadline: </w:t>
      </w:r>
      <w:r w:rsidDel="00000000" w:rsidR="00000000" w:rsidRPr="00000000">
        <w:rPr>
          <w:color w:val="1a1a1a"/>
          <w:rtl w:val="0"/>
        </w:rPr>
        <w:t xml:space="preserve">48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hours from receipt of this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a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B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A Note to Candidates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This assignment is designed to surface engineers who think in systems, not just in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The best submissions we have seen are not the most complex ones — they are the ones where we can see the candidate understood the business problem, made deliberate trade-offs, and explained their thinking clearly.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We are hiring engineers who will work alongside domain experts, analysts, and product managers. Your ability to communicate across technical and business audiences is as important as your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Good luck.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jc w:val="center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Veritas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Claims Analytics — Engineering Assignment  |  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7" Type="http://schemas.openxmlformats.org/officeDocument/2006/relationships/hyperlink" Target="http://draw.io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