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LEASE ANALYSIS REPORT</w:t>
      </w:r>
    </w:p>
    <w:p>
      <w:pPr>
        <w:spacing w:after="200"/>
        <w:jc w:val="center"/>
      </w:pPr>
      <w:r>
        <w:rPr>
          <w:b/>
          <w:bCs/>
        </w:rPr>
        <w:t xml:space="preserve">Generated: 11/3/2025, 8:19:48 PM</w:t>
      </w:r>
    </w:p>
    <w:p>
      <w:pPr>
        <w:spacing w:after="600"/>
        <w:jc w:val="center"/>
      </w:pPr>
      <w:r>
        <w:t xml:space="preserve">Document: bayer Lease Document</w:t>
      </w:r>
    </w:p>
    <w:p>
      <w:pPr>
        <w:pStyle w:val="Heading1"/>
        <w:spacing w:before="400" w:after="200"/>
      </w:pPr>
      <w:r>
        <w:t xml:space="preserve">Executive Summary</w:t>
      </w:r>
    </w:p>
    <w:p>
      <w:pPr>
        <w:spacing w:after="120"/>
      </w:pPr>
      <w:r>
        <w:t xml:space="preserve">This lease, dated May 2015, is between PH Office 2, LLC (Landlord) and Bayer HealthCare LLC (Tenant). The Premises are on the 6th floor of 5100 W.J.B. Hunt Drive, Suite 6SG, Rogers, Arkansas, comprising approximately 17,090 rentable sq ft (14,642 usable sq ft). The Primary Term runs for 77 months, ending on the last day of the 77th full month, with a Tenant‑option to extend to 90 months by giving notice within 21 days of Commencement; two additional five‑year Renewal Terms are available upon 180‑365 day notice. Base rent starts at $24.50 per rsf for year 1, increasing 2 % annually, with rent commencing in the 6th month; a detailed rent schedule is provided. Tenant receives a $72.22 per rsf improvement allowance (increasing to $84.42 per rsf if the term is extended). Early termination is permitted at month 51 with six‑month notice, triggering a termination fee equal to the unamortized improvement allowance plus interest. Parking is allocated at 4.5 spaces per 1,000 rsf at no charge. Landlord is responsible for structural repairs, roof, and common‑area systems; Tenant handles interior maintenance, utilities, and insurance (workers’ comp $2 M, general liability $4 M). The lease includes standard provisions for CAM charges, operating‑expense caps, insurance, indemnities, signage rights, hazardous‑material restrictions, and a right of first refusal on adjacent space.</w:t>
      </w:r>
    </w:p>
    <w:p>
      <w:pPr>
        <w:pStyle w:val="Heading1"/>
        <w:spacing w:before="400" w:after="200"/>
      </w:pPr>
      <w:r>
        <w:t xml:space="preserve">Lease Information</w:t>
      </w:r>
    </w:p>
    <w:p>
      <w:pPr>
        <w:spacing w:after="100"/>
      </w:pPr>
      <w:r>
        <w:rPr>
          <w:b/>
          <w:bCs/>
        </w:rPr>
        <w:t xml:space="preserve">Lease: </w:t>
      </w:r>
      <w:r>
        <w:t xml:space="preserve">Lease ABC1</w:t>
      </w:r>
    </w:p>
    <w:p>
      <w:pPr>
        <w:spacing w:after="100"/>
      </w:pPr>
      <w:r>
        <w:rPr>
          <w:i/>
          <w:iCs/>
        </w:rPr>
        <w:t xml:space="preserve">  Citation: Page 1</w:t>
      </w:r>
    </w:p>
    <w:p>
      <w:pPr>
        <w:spacing w:after="100"/>
      </w:pPr>
      <w:r>
        <w:rPr>
          <w:b/>
          <w:bCs/>
        </w:rPr>
        <w:t xml:space="preserve">Property: </w:t>
      </w:r>
      <w:r>
        <w:t xml:space="preserve">5100 W. J.B. Hunt Drive, Suite 6, Rogers, Arkansas 72758</w:t>
      </w:r>
    </w:p>
    <w:p>
      <w:pPr>
        <w:spacing w:after="100"/>
      </w:pPr>
      <w:r>
        <w:rPr>
          <w:i/>
          <w:iCs/>
        </w:rPr>
        <w:t xml:space="preserve">  Citation: Page 2</w:t>
      </w:r>
    </w:p>
    <w:p>
      <w:pPr>
        <w:spacing w:after="100"/>
      </w:pPr>
      <w:r>
        <w:rPr>
          <w:b/>
          <w:bCs/>
        </w:rPr>
        <w:t xml:space="preserve">Lease From: </w:t>
      </w:r>
      <w:r>
        <w:t xml:space="preserve">PH Office 2, LLC</w:t>
      </w:r>
    </w:p>
    <w:p>
      <w:pPr>
        <w:spacing w:after="100"/>
      </w:pPr>
      <w:r>
        <w:rPr>
          <w:i/>
          <w:iCs/>
        </w:rPr>
        <w:t xml:space="preserve">  Citation: Page 2</w:t>
      </w:r>
    </w:p>
    <w:p>
      <w:pPr>
        <w:spacing w:after="100"/>
      </w:pPr>
      <w:r>
        <w:rPr>
          <w:b/>
          <w:bCs/>
        </w:rPr>
        <w:t xml:space="preserve">Lease To: </w:t>
      </w:r>
      <w:r>
        <w:t xml:space="preserve">Bayer HealthCare LLC</w:t>
      </w:r>
    </w:p>
    <w:p>
      <w:pPr>
        <w:spacing w:after="100"/>
      </w:pPr>
      <w:r>
        <w:rPr>
          <w:i/>
          <w:iCs/>
        </w:rPr>
        <w:t xml:space="preserve">  Citation: Page 1</w:t>
      </w:r>
    </w:p>
    <w:p>
      <w:pPr>
        <w:pStyle w:val="Heading1"/>
        <w:spacing w:before="400" w:after="200"/>
      </w:pPr>
      <w:r>
        <w:t xml:space="preserve">Space Information</w:t>
      </w:r>
    </w:p>
    <w:p>
      <w:pPr>
        <w:spacing w:after="100"/>
      </w:pPr>
      <w:r>
        <w:rPr>
          <w:b/>
          <w:bCs/>
        </w:rPr>
        <w:t xml:space="preserve">Unit: </w:t>
      </w:r>
      <w:r>
        <w:t xml:space="preserve">N/A</w:t>
      </w:r>
    </w:p>
    <w:p>
      <w:pPr>
        <w:spacing w:after="100"/>
      </w:pPr>
      <w:r>
        <w:rPr>
          <w:b/>
          <w:bCs/>
        </w:rPr>
        <w:t xml:space="preserve">Building: </w:t>
      </w:r>
      <w:r>
        <w:t xml:space="preserve">PH Office 2, LLC</w:t>
      </w:r>
    </w:p>
    <w:p>
      <w:pPr>
        <w:spacing w:after="100"/>
      </w:pPr>
      <w:r>
        <w:rPr>
          <w:i/>
          <w:iCs/>
        </w:rPr>
        <w:t xml:space="preserve">  Citation: 3</w:t>
      </w:r>
    </w:p>
    <w:p>
      <w:pPr>
        <w:spacing w:after="100"/>
      </w:pPr>
      <w:r>
        <w:rPr>
          <w:b/>
          <w:bCs/>
        </w:rPr>
        <w:t xml:space="preserve">Floor: </w:t>
      </w:r>
      <w:r>
        <w:t xml:space="preserve">6th floor</w:t>
      </w:r>
    </w:p>
    <w:p>
      <w:pPr>
        <w:spacing w:after="100"/>
      </w:pPr>
      <w:r>
        <w:rPr>
          <w:i/>
          <w:iCs/>
        </w:rPr>
        <w:t xml:space="preserve">  Citation: 3</w:t>
      </w:r>
    </w:p>
    <w:p>
      <w:pPr>
        <w:spacing w:after="100"/>
      </w:pPr>
      <w:r>
        <w:rPr>
          <w:b/>
          <w:bCs/>
        </w:rPr>
        <w:t xml:space="preserve">Area Rentable: </w:t>
      </w:r>
      <w:r>
        <w:t xml:space="preserve">17,090 rentable square feet</w:t>
      </w:r>
    </w:p>
    <w:p>
      <w:pPr>
        <w:spacing w:after="100"/>
      </w:pPr>
      <w:r>
        <w:rPr>
          <w:i/>
          <w:iCs/>
        </w:rPr>
        <w:t xml:space="preserve">  Citation: 3</w:t>
      </w:r>
    </w:p>
    <w:p>
      <w:pPr>
        <w:spacing w:after="100"/>
      </w:pPr>
      <w:r>
        <w:rPr>
          <w:b/>
          <w:bCs/>
        </w:rPr>
        <w:t xml:space="preserve">Area Usable: </w:t>
      </w:r>
      <w:r>
        <w:t xml:space="preserve">14,642 usable square feet</w:t>
      </w:r>
    </w:p>
    <w:p>
      <w:pPr>
        <w:spacing w:after="100"/>
      </w:pPr>
      <w:r>
        <w:rPr>
          <w:i/>
          <w:iCs/>
        </w:rPr>
        <w:t xml:space="preserve">  Citation: 3</w:t>
      </w:r>
    </w:p>
    <w:p>
      <w:pPr>
        <w:spacing w:after="100"/>
      </w:pPr>
      <w:r>
        <w:rPr>
          <w:b/>
          <w:bCs/>
        </w:rPr>
        <w:t xml:space="preserve">Status: </w:t>
      </w:r>
      <w:r>
        <w:t xml:space="preserve">N/A</w:t>
      </w:r>
    </w:p>
    <w:p>
      <w:pPr>
        <w:spacing w:after="100"/>
      </w:pPr>
      <w:r>
        <w:rPr>
          <w:b/>
          <w:bCs/>
        </w:rPr>
        <w:t xml:space="preserve">Notes: </w:t>
      </w:r>
      <w:r>
        <w:t xml:space="preserve">Premises located at 5100 W. J.B. Hunt Drive, Suite 6SG, Rogers, Arkansas 72758</w:t>
      </w:r>
    </w:p>
    <w:p>
      <w:pPr>
        <w:spacing w:after="100"/>
      </w:pPr>
      <w:r>
        <w:rPr>
          <w:i/>
          <w:iCs/>
        </w:rPr>
        <w:t xml:space="preserve">  Citation: 3</w:t>
      </w:r>
    </w:p>
    <w:p>
      <w:pPr>
        <w:pStyle w:val="Heading1"/>
        <w:spacing w:before="400" w:after="200"/>
      </w:pPr>
      <w:r>
        <w:t xml:space="preserve">Charge Schedules</w:t>
      </w:r>
    </w:p>
    <w:p>
      <w:pPr>
        <w:pStyle w:val="Heading2"/>
        <w:spacing w:before="300" w:after="200"/>
      </w:pPr>
      <w:r>
        <w:t xml:space="preserve">Base Rent Entries</w:t>
      </w:r>
    </w:p>
    <w:p>
      <w:pPr>
        <w:spacing w:before="200" w:after="150"/>
      </w:pPr>
      <w:r>
        <w:rPr>
          <w:b/>
          <w:bCs/>
        </w:rPr>
        <w:t xml:space="preserve">Entry 1</w:t>
      </w:r>
    </w:p>
    <w:p>
      <w:pPr>
        <w:spacing w:after="100"/>
      </w:pPr>
      <w:r>
        <w:rPr>
          <w:b/>
          <w:bCs/>
        </w:rPr>
        <w:t xml:space="preserve">Charge Code: </w:t>
      </w:r>
      <w:r>
        <w:t xml:space="preserve">BR1</w:t>
      </w:r>
    </w:p>
    <w:p>
      <w:pPr>
        <w:spacing w:after="100"/>
      </w:pPr>
      <w:r>
        <w:rPr>
          <w:i/>
          <w:iCs/>
        </w:rPr>
        <w:t xml:space="preserve">  Citation: Page 8, Table 1 rows 2-7</w:t>
      </w:r>
    </w:p>
    <w:p>
      <w:pPr>
        <w:spacing w:after="100"/>
      </w:pPr>
      <w:r>
        <w:rPr>
          <w:b/>
          <w:bCs/>
        </w:rPr>
        <w:t xml:space="preserve">Description: </w:t>
      </w:r>
      <w:r>
        <w:t xml:space="preserve">Months 6-17</w:t>
      </w:r>
    </w:p>
    <w:p>
      <w:pPr>
        <w:spacing w:after="100"/>
      </w:pPr>
      <w:r>
        <w:rPr>
          <w:i/>
          <w:iCs/>
        </w:rPr>
        <w:t xml:space="preserve">  Citation: Page 8, Table 1 row 2</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$34,892.08</w:t>
      </w:r>
    </w:p>
    <w:p>
      <w:pPr>
        <w:spacing w:after="100"/>
      </w:pPr>
      <w:r>
        <w:rPr>
          <w:i/>
          <w:iCs/>
        </w:rPr>
        <w:t xml:space="preserve">  Citation: Page 8, Table 1 row 2</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$24.50 per sqft per annum</w:t>
      </w:r>
    </w:p>
    <w:p>
      <w:pPr>
        <w:spacing w:after="100"/>
      </w:pPr>
      <w:r>
        <w:rPr>
          <w:i/>
          <w:iCs/>
        </w:rPr>
        <w:t xml:space="preserve">  Citation: Page 8, Table 1 row 2</w:t>
      </w:r>
    </w:p>
    <w:p>
      <w:pPr>
        <w:spacing w:after="100"/>
      </w:pPr>
      <w:r>
        <w:rPr>
          <w:b/>
          <w:bCs/>
        </w:rPr>
        <w:t xml:space="preserve">Management Fees: </w:t>
      </w:r>
      <w:r>
        <w:t xml:space="preserve">N/A</w:t>
      </w:r>
    </w:p>
    <w:p>
      <w:pPr>
        <w:spacing w:before="200" w:after="150"/>
      </w:pPr>
      <w:r>
        <w:rPr>
          <w:b/>
          <w:bCs/>
        </w:rPr>
        <w:t xml:space="preserve">Entry 2</w:t>
      </w:r>
    </w:p>
    <w:p>
      <w:pPr>
        <w:spacing w:after="100"/>
      </w:pPr>
      <w:r>
        <w:rPr>
          <w:b/>
          <w:bCs/>
        </w:rPr>
        <w:t xml:space="preserve">Charge Code: </w:t>
      </w:r>
      <w:r>
        <w:t xml:space="preserve">BR2</w:t>
      </w:r>
    </w:p>
    <w:p>
      <w:pPr>
        <w:spacing w:after="100"/>
      </w:pPr>
      <w:r>
        <w:rPr>
          <w:i/>
          <w:iCs/>
        </w:rPr>
        <w:t xml:space="preserve">  Citation: Page 8, Table 1 rows 2-7</w:t>
      </w:r>
    </w:p>
    <w:p>
      <w:pPr>
        <w:spacing w:after="100"/>
      </w:pPr>
      <w:r>
        <w:rPr>
          <w:b/>
          <w:bCs/>
        </w:rPr>
        <w:t xml:space="preserve">Description: </w:t>
      </w:r>
      <w:r>
        <w:t xml:space="preserve">Months 18-29</w:t>
      </w:r>
    </w:p>
    <w:p>
      <w:pPr>
        <w:spacing w:after="100"/>
      </w:pPr>
      <w:r>
        <w:rPr>
          <w:i/>
          <w:iCs/>
        </w:rPr>
        <w:t xml:space="preserve">  Citation: Page 8, Table 1 row 3</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$35,589.93</w:t>
      </w:r>
    </w:p>
    <w:p>
      <w:pPr>
        <w:spacing w:after="100"/>
      </w:pPr>
      <w:r>
        <w:rPr>
          <w:i/>
          <w:iCs/>
        </w:rPr>
        <w:t xml:space="preserve">  Citation: Page 8, Table 1 row 3</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$24.99 per sqft per annum</w:t>
      </w:r>
    </w:p>
    <w:p>
      <w:pPr>
        <w:spacing w:after="100"/>
      </w:pPr>
      <w:r>
        <w:rPr>
          <w:i/>
          <w:iCs/>
        </w:rPr>
        <w:t xml:space="preserve">  Citation: Page 8, Table 1 row 3</w:t>
      </w:r>
    </w:p>
    <w:p>
      <w:pPr>
        <w:spacing w:after="100"/>
      </w:pPr>
      <w:r>
        <w:rPr>
          <w:b/>
          <w:bCs/>
        </w:rPr>
        <w:t xml:space="preserve">Management Fees: </w:t>
      </w:r>
      <w:r>
        <w:t xml:space="preserve">N/A</w:t>
      </w:r>
    </w:p>
    <w:p>
      <w:pPr>
        <w:spacing w:before="200" w:after="150"/>
      </w:pPr>
      <w:r>
        <w:rPr>
          <w:b/>
          <w:bCs/>
        </w:rPr>
        <w:t xml:space="preserve">Entry 3</w:t>
      </w:r>
    </w:p>
    <w:p>
      <w:pPr>
        <w:spacing w:after="100"/>
      </w:pPr>
      <w:r>
        <w:rPr>
          <w:b/>
          <w:bCs/>
        </w:rPr>
        <w:t xml:space="preserve">Charge Code: </w:t>
      </w:r>
      <w:r>
        <w:t xml:space="preserve">BR3</w:t>
      </w:r>
    </w:p>
    <w:p>
      <w:pPr>
        <w:spacing w:after="100"/>
      </w:pPr>
      <w:r>
        <w:rPr>
          <w:i/>
          <w:iCs/>
        </w:rPr>
        <w:t xml:space="preserve">  Citation: Page 8, Table 1 rows 2-7</w:t>
      </w:r>
    </w:p>
    <w:p>
      <w:pPr>
        <w:spacing w:after="100"/>
      </w:pPr>
      <w:r>
        <w:rPr>
          <w:b/>
          <w:bCs/>
        </w:rPr>
        <w:t xml:space="preserve">Description: </w:t>
      </w:r>
      <w:r>
        <w:t xml:space="preserve">Months 30-41</w:t>
      </w:r>
    </w:p>
    <w:p>
      <w:pPr>
        <w:spacing w:after="100"/>
      </w:pPr>
      <w:r>
        <w:rPr>
          <w:i/>
          <w:iCs/>
        </w:rPr>
        <w:t xml:space="preserve">  Citation: Page 8, Table 1 row 4</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$36,302.01</w:t>
      </w:r>
    </w:p>
    <w:p>
      <w:pPr>
        <w:spacing w:after="100"/>
      </w:pPr>
      <w:r>
        <w:rPr>
          <w:i/>
          <w:iCs/>
        </w:rPr>
        <w:t xml:space="preserve">  Citation: Page 8, Table 1 row 4</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$25.49 per sqft per annum</w:t>
      </w:r>
    </w:p>
    <w:p>
      <w:pPr>
        <w:spacing w:after="100"/>
      </w:pPr>
      <w:r>
        <w:rPr>
          <w:i/>
          <w:iCs/>
        </w:rPr>
        <w:t xml:space="preserve">  Citation: Page 8, Table 1 row 4</w:t>
      </w:r>
    </w:p>
    <w:p>
      <w:pPr>
        <w:spacing w:after="100"/>
      </w:pPr>
      <w:r>
        <w:rPr>
          <w:b/>
          <w:bCs/>
        </w:rPr>
        <w:t xml:space="preserve">Management Fees: </w:t>
      </w:r>
      <w:r>
        <w:t xml:space="preserve">N/A</w:t>
      </w:r>
    </w:p>
    <w:p>
      <w:pPr>
        <w:spacing w:before="200" w:after="150"/>
      </w:pPr>
      <w:r>
        <w:rPr>
          <w:b/>
          <w:bCs/>
        </w:rPr>
        <w:t xml:space="preserve">Entry 4</w:t>
      </w:r>
    </w:p>
    <w:p>
      <w:pPr>
        <w:spacing w:after="100"/>
      </w:pPr>
      <w:r>
        <w:rPr>
          <w:b/>
          <w:bCs/>
        </w:rPr>
        <w:t xml:space="preserve">Charge Code: </w:t>
      </w:r>
      <w:r>
        <w:t xml:space="preserve">BR4</w:t>
      </w:r>
    </w:p>
    <w:p>
      <w:pPr>
        <w:spacing w:after="100"/>
      </w:pPr>
      <w:r>
        <w:rPr>
          <w:i/>
          <w:iCs/>
        </w:rPr>
        <w:t xml:space="preserve">  Citation: Page 8, Table 1 rows 2-7</w:t>
      </w:r>
    </w:p>
    <w:p>
      <w:pPr>
        <w:spacing w:after="100"/>
      </w:pPr>
      <w:r>
        <w:rPr>
          <w:b/>
          <w:bCs/>
        </w:rPr>
        <w:t xml:space="preserve">Description: </w:t>
      </w:r>
      <w:r>
        <w:t xml:space="preserve">Months 42-53</w:t>
      </w:r>
    </w:p>
    <w:p>
      <w:pPr>
        <w:spacing w:after="100"/>
      </w:pPr>
      <w:r>
        <w:rPr>
          <w:i/>
          <w:iCs/>
        </w:rPr>
        <w:t xml:space="preserve">  Citation: Page 8, Table 1 row 5</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$37,028.33</w:t>
      </w:r>
    </w:p>
    <w:p>
      <w:pPr>
        <w:spacing w:after="100"/>
      </w:pPr>
      <w:r>
        <w:rPr>
          <w:i/>
          <w:iCs/>
        </w:rPr>
        <w:t xml:space="preserve">  Citation: Page 8, Table 1 row 5</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$26.00 per sqft per annum</w:t>
      </w:r>
    </w:p>
    <w:p>
      <w:pPr>
        <w:spacing w:after="100"/>
      </w:pPr>
      <w:r>
        <w:rPr>
          <w:i/>
          <w:iCs/>
        </w:rPr>
        <w:t xml:space="preserve">  Citation: Page 8, Table 1 row 5</w:t>
      </w:r>
    </w:p>
    <w:p>
      <w:pPr>
        <w:spacing w:after="100"/>
      </w:pPr>
      <w:r>
        <w:rPr>
          <w:b/>
          <w:bCs/>
        </w:rPr>
        <w:t xml:space="preserve">Management Fees: </w:t>
      </w:r>
      <w:r>
        <w:t xml:space="preserve">N/A</w:t>
      </w:r>
    </w:p>
    <w:p>
      <w:pPr>
        <w:spacing w:before="200" w:after="150"/>
      </w:pPr>
      <w:r>
        <w:rPr>
          <w:b/>
          <w:bCs/>
        </w:rPr>
        <w:t xml:space="preserve">Entry 5</w:t>
      </w:r>
    </w:p>
    <w:p>
      <w:pPr>
        <w:spacing w:after="100"/>
      </w:pPr>
      <w:r>
        <w:rPr>
          <w:b/>
          <w:bCs/>
        </w:rPr>
        <w:t xml:space="preserve">Charge Code: </w:t>
      </w:r>
      <w:r>
        <w:t xml:space="preserve">BR5</w:t>
      </w:r>
    </w:p>
    <w:p>
      <w:pPr>
        <w:spacing w:after="100"/>
      </w:pPr>
      <w:r>
        <w:rPr>
          <w:i/>
          <w:iCs/>
        </w:rPr>
        <w:t xml:space="preserve">  Citation: Page 8, Table 1 rows 2-7</w:t>
      </w:r>
    </w:p>
    <w:p>
      <w:pPr>
        <w:spacing w:after="100"/>
      </w:pPr>
      <w:r>
        <w:rPr>
          <w:b/>
          <w:bCs/>
        </w:rPr>
        <w:t xml:space="preserve">Description: </w:t>
      </w:r>
      <w:r>
        <w:t xml:space="preserve">Months 54-65</w:t>
      </w:r>
    </w:p>
    <w:p>
      <w:pPr>
        <w:spacing w:after="100"/>
      </w:pPr>
      <w:r>
        <w:rPr>
          <w:i/>
          <w:iCs/>
        </w:rPr>
        <w:t xml:space="preserve">  Citation: Page 8, Table 1 row 6</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$37,768.90</w:t>
      </w:r>
    </w:p>
    <w:p>
      <w:pPr>
        <w:spacing w:after="100"/>
      </w:pPr>
      <w:r>
        <w:rPr>
          <w:i/>
          <w:iCs/>
        </w:rPr>
        <w:t xml:space="preserve">  Citation: Page 8, Table 1 row 6</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$26.52 per sqft per annum</w:t>
      </w:r>
    </w:p>
    <w:p>
      <w:pPr>
        <w:spacing w:after="100"/>
      </w:pPr>
      <w:r>
        <w:rPr>
          <w:i/>
          <w:iCs/>
        </w:rPr>
        <w:t xml:space="preserve">  Citation: Page 8, Table 1 row 6</w:t>
      </w:r>
    </w:p>
    <w:p>
      <w:pPr>
        <w:spacing w:after="100"/>
      </w:pPr>
      <w:r>
        <w:rPr>
          <w:b/>
          <w:bCs/>
        </w:rPr>
        <w:t xml:space="preserve">Management Fees: </w:t>
      </w:r>
      <w:r>
        <w:t xml:space="preserve">N/A</w:t>
      </w:r>
    </w:p>
    <w:p>
      <w:pPr>
        <w:spacing w:before="200" w:after="150"/>
      </w:pPr>
      <w:r>
        <w:rPr>
          <w:b/>
          <w:bCs/>
        </w:rPr>
        <w:t xml:space="preserve">Entry 6</w:t>
      </w:r>
    </w:p>
    <w:p>
      <w:pPr>
        <w:spacing w:after="100"/>
      </w:pPr>
      <w:r>
        <w:rPr>
          <w:b/>
          <w:bCs/>
        </w:rPr>
        <w:t xml:space="preserve">Charge Code: </w:t>
      </w:r>
      <w:r>
        <w:t xml:space="preserve">BR6</w:t>
      </w:r>
    </w:p>
    <w:p>
      <w:pPr>
        <w:spacing w:after="100"/>
      </w:pPr>
      <w:r>
        <w:rPr>
          <w:i/>
          <w:iCs/>
        </w:rPr>
        <w:t xml:space="preserve">  Citation: Page 8, Table 1 rows 2-7</w:t>
      </w:r>
    </w:p>
    <w:p>
      <w:pPr>
        <w:spacing w:after="100"/>
      </w:pPr>
      <w:r>
        <w:rPr>
          <w:b/>
          <w:bCs/>
        </w:rPr>
        <w:t xml:space="preserve">Description: </w:t>
      </w:r>
      <w:r>
        <w:t xml:space="preserve">Months 66-77</w:t>
      </w:r>
    </w:p>
    <w:p>
      <w:pPr>
        <w:spacing w:after="100"/>
      </w:pPr>
      <w:r>
        <w:rPr>
          <w:i/>
          <w:iCs/>
        </w:rPr>
        <w:t xml:space="preserve">  Citation: Page 8, Table 1 row 7</w:t>
      </w:r>
    </w:p>
    <w:p>
      <w:pPr>
        <w:spacing w:after="100"/>
      </w:pPr>
      <w:r>
        <w:rPr>
          <w:b/>
          <w:bCs/>
        </w:rPr>
        <w:t xml:space="preserve">Date From: </w:t>
      </w:r>
      <w:r>
        <w:t xml:space="preserve">N/A</w:t>
      </w:r>
    </w:p>
    <w:p>
      <w:pPr>
        <w:spacing w:after="100"/>
      </w:pPr>
      <w:r>
        <w:rPr>
          <w:i/>
          <w:iCs/>
        </w:rPr>
        <w:t xml:space="preserve">  Citation: Not specified in lease text</w:t>
      </w:r>
    </w:p>
    <w:p>
      <w:pPr>
        <w:spacing w:after="100"/>
      </w:pPr>
      <w:r>
        <w:rPr>
          <w:b/>
          <w:bCs/>
        </w:rPr>
        <w:t xml:space="preserve">Date To: </w:t>
      </w:r>
      <w:r>
        <w:t xml:space="preserve">N/A</w:t>
      </w:r>
    </w:p>
    <w:p>
      <w:pPr>
        <w:spacing w:after="100"/>
      </w:pPr>
      <w:r>
        <w:rPr>
          <w:i/>
          <w:iCs/>
        </w:rPr>
        <w:t xml:space="preserve">  Citation: Not specified in lease text</w:t>
      </w:r>
    </w:p>
    <w:p>
      <w:pPr>
        <w:spacing w:after="100"/>
      </w:pPr>
      <w:r>
        <w:rPr>
          <w:b/>
          <w:bCs/>
        </w:rPr>
        <w:t xml:space="preserve">Monthly Amount: </w:t>
      </w:r>
      <w:r>
        <w:t xml:space="preserve">$38,523.71</w:t>
      </w:r>
    </w:p>
    <w:p>
      <w:pPr>
        <w:spacing w:after="100"/>
      </w:pPr>
      <w:r>
        <w:rPr>
          <w:i/>
          <w:iCs/>
        </w:rPr>
        <w:t xml:space="preserve">  Citation: Page 8, Table 1 row 7</w:t>
      </w:r>
    </w:p>
    <w:p>
      <w:pPr>
        <w:spacing w:after="100"/>
      </w:pPr>
      <w:r>
        <w:rPr>
          <w:b/>
          <w:bCs/>
        </w:rPr>
        <w:t xml:space="preserve">Annual Amount: </w:t>
      </w:r>
      <w:r>
        <w:t xml:space="preserve">N/A</w:t>
      </w:r>
    </w:p>
    <w:p>
      <w:pPr>
        <w:spacing w:after="100"/>
      </w:pPr>
      <w:r>
        <w:rPr>
          <w:i/>
          <w:iCs/>
        </w:rPr>
        <w:t xml:space="preserve">  Citation: Not explicitly provided</w:t>
      </w:r>
    </w:p>
    <w:p>
      <w:pPr>
        <w:spacing w:after="100"/>
      </w:pPr>
      <w:r>
        <w:rPr>
          <w:b/>
          <w:bCs/>
        </w:rPr>
        <w:t xml:space="preserve">Area Rentable: </w:t>
      </w:r>
      <w:r>
        <w:t xml:space="preserve">17,090</w:t>
      </w:r>
    </w:p>
    <w:p>
      <w:pPr>
        <w:spacing w:after="100"/>
      </w:pPr>
      <w:r>
        <w:rPr>
          <w:i/>
          <w:iCs/>
        </w:rPr>
        <w:t xml:space="preserve">  Citation: Page 3, Premises description</w:t>
      </w:r>
    </w:p>
    <w:p>
      <w:pPr>
        <w:spacing w:after="100"/>
      </w:pPr>
      <w:r>
        <w:rPr>
          <w:b/>
          <w:bCs/>
        </w:rPr>
        <w:t xml:space="preserve">Amount Per Area: </w:t>
      </w:r>
      <w:r>
        <w:t xml:space="preserve">$27.05 per sqft per annum</w:t>
      </w:r>
    </w:p>
    <w:p>
      <w:pPr>
        <w:spacing w:after="100"/>
      </w:pPr>
      <w:r>
        <w:rPr>
          <w:i/>
          <w:iCs/>
        </w:rPr>
        <w:t xml:space="preserve">  Citation: Page 8, Table 1 row 7</w:t>
      </w:r>
    </w:p>
    <w:p>
      <w:pPr>
        <w:spacing w:after="100"/>
      </w:pPr>
      <w:r>
        <w:rPr>
          <w:b/>
          <w:bCs/>
        </w:rPr>
        <w:t xml:space="preserve">Management Fees: </w:t>
      </w:r>
      <w:r>
        <w:t xml:space="preserve">N/A</w:t>
      </w:r>
    </w:p>
    <w:p>
      <w:pPr>
        <w:pStyle w:val="Heading2"/>
        <w:spacing w:before="300" w:after="200"/>
      </w:pPr>
      <w:r>
        <w:t xml:space="preserve">Late Fee Information</w:t>
      </w:r>
    </w:p>
    <w:p>
      <w:pPr>
        <w:spacing w:after="100"/>
      </w:pPr>
      <w:r>
        <w:rPr>
          <w:b/>
          <w:bCs/>
        </w:rPr>
        <w:t xml:space="preserve">Calculation Type: </w:t>
      </w:r>
      <w:r>
        <w:t xml:space="preserve">Percentage of Overdue Amount</w:t>
      </w:r>
    </w:p>
    <w:p>
      <w:pPr>
        <w:spacing w:after="100"/>
      </w:pPr>
      <w:r>
        <w:rPr>
          <w:i/>
          <w:iCs/>
        </w:rPr>
        <w:t xml:space="preserve">  Citation: Page 8, late charge provision – “2% of the monthly payment will be assessed as a late charge.”</w:t>
      </w:r>
    </w:p>
    <w:p>
      <w:pPr>
        <w:spacing w:after="100"/>
      </w:pPr>
      <w:r>
        <w:rPr>
          <w:b/>
          <w:bCs/>
        </w:rPr>
        <w:t xml:space="preserve">Grace Days: </w:t>
      </w:r>
      <w:r>
        <w:t xml:space="preserve">10</w:t>
      </w:r>
    </w:p>
    <w:p>
      <w:pPr>
        <w:spacing w:after="100"/>
      </w:pPr>
      <w:r>
        <w:rPr>
          <w:i/>
          <w:iCs/>
        </w:rPr>
        <w:t xml:space="preserve">  Citation: Page 8 – late charge applies if rent not paid by the 10th of the month</w:t>
      </w:r>
    </w:p>
    <w:p>
      <w:pPr>
        <w:spacing w:after="100"/>
      </w:pPr>
      <w:r>
        <w:rPr>
          <w:b/>
          <w:bCs/>
        </w:rPr>
        <w:t xml:space="preserve">Percent: </w:t>
      </w:r>
      <w:r>
        <w:t xml:space="preserve">2</w:t>
      </w:r>
    </w:p>
    <w:p>
      <w:pPr>
        <w:spacing w:after="100"/>
      </w:pPr>
      <w:r>
        <w:rPr>
          <w:i/>
          <w:iCs/>
        </w:rPr>
        <w:t xml:space="preserve">  Citation: Page 8 – 2% late charge</w:t>
      </w:r>
    </w:p>
    <w:p>
      <w:pPr>
        <w:spacing w:after="100"/>
      </w:pPr>
      <w:r>
        <w:rPr>
          <w:b/>
          <w:bCs/>
        </w:rPr>
        <w:t xml:space="preserve">Second Fee Calculation Type: </w:t>
      </w:r>
      <w:r>
        <w:t xml:space="preserve">Percentage of Overdue Amount</w:t>
      </w:r>
    </w:p>
    <w:p>
      <w:pPr>
        <w:spacing w:after="100"/>
      </w:pPr>
      <w:r>
        <w:rPr>
          <w:i/>
          <w:iCs/>
        </w:rPr>
        <w:t xml:space="preserve">  Citation: Page 21 – “late charge in an amount equal to five percent (5%) of such payment.”</w:t>
      </w:r>
    </w:p>
    <w:p>
      <w:pPr>
        <w:spacing w:after="100"/>
      </w:pPr>
      <w:r>
        <w:rPr>
          <w:b/>
          <w:bCs/>
        </w:rPr>
        <w:t xml:space="preserve">Second Fee Grace: </w:t>
      </w:r>
      <w:r>
        <w:t xml:space="preserve">0</w:t>
      </w:r>
    </w:p>
    <w:p>
      <w:pPr>
        <w:spacing w:after="100"/>
      </w:pPr>
      <w:r>
        <w:rPr>
          <w:i/>
          <w:iCs/>
        </w:rPr>
        <w:t xml:space="preserve">  Citation: Page 21 – no grace period mentioned for the 5% charge</w:t>
      </w:r>
    </w:p>
    <w:p>
      <w:pPr>
        <w:spacing w:after="100"/>
      </w:pPr>
      <w:r>
        <w:rPr>
          <w:b/>
          <w:bCs/>
        </w:rPr>
        <w:t xml:space="preserve">Second Fee Percent: </w:t>
      </w:r>
      <w:r>
        <w:t xml:space="preserve">5</w:t>
      </w:r>
    </w:p>
    <w:p>
      <w:pPr>
        <w:spacing w:after="100"/>
      </w:pPr>
      <w:r>
        <w:rPr>
          <w:i/>
          <w:iCs/>
        </w:rPr>
        <w:t xml:space="preserve">  Citation: Page 21 – 5% late charge</w:t>
      </w:r>
    </w:p>
    <w:p>
      <w:pPr>
        <w:spacing w:after="100"/>
      </w:pPr>
      <w:r>
        <w:rPr>
          <w:b/>
          <w:bCs/>
        </w:rPr>
        <w:t xml:space="preserve">Per Day Fee: </w:t>
      </w:r>
      <w:r>
        <w:t xml:space="preserve">N/A</w:t>
      </w:r>
    </w:p>
    <w:p>
      <w:pPr>
        <w:pStyle w:val="Heading1"/>
        <w:spacing w:before="400" w:after="200"/>
      </w:pPr>
      <w:r>
        <w:t xml:space="preserve">Miscellaneous Information</w:t>
      </w:r>
    </w:p>
    <w:p>
      <w:pPr>
        <w:spacing w:before="200" w:after="150"/>
      </w:pPr>
      <w:r>
        <w:rPr>
          <w:b/>
          <w:bCs/>
        </w:rPr>
        <w:t xml:space="preserve">Premises And Term</w:t>
      </w:r>
    </w:p>
    <w:p>
      <w:pPr>
        <w:spacing w:after="100"/>
      </w:pPr>
      <w:r>
        <w:rPr>
          <w:b/>
          <w:bCs/>
        </w:rPr>
        <w:t xml:space="preserve">  Synopsis: </w:t>
      </w:r>
      <w:r>
        <w:t xml:space="preserve">The Premises are located at 5100 W. J.B. Hunt Drive, Suite 602, Rogers, Arkansas 72758 on the 6th floor, consisting of approximately 14,642 usable square feet and 17,090 rentable square feet. The Primary Term ends on the last day of the 77th full month, with an option to extend to 90 months.</w:t>
      </w:r>
    </w:p>
    <w:p>
      <w:pPr>
        <w:spacing w:after="100"/>
      </w:pPr>
      <w:r>
        <w:rPr>
          <w:i/>
          <w:iCs/>
        </w:rPr>
        <w:t xml:space="preserve">    Citation: Pages 2-5</w:t>
      </w:r>
    </w:p>
    <w:p>
      <w:pPr>
        <w:spacing w:after="100"/>
      </w:pPr>
      <w:r>
        <w:rPr>
          <w:b/>
          <w:bCs/>
        </w:rPr>
        <w:t xml:space="preserve">  Key Parameters: </w:t>
      </w:r>
      <w:r>
        <w:t xml:space="preserve">Usable Area: 14,642 sf; Rentable Area: 17,090 sf; Building Total Rentable: 226,468 sf; Primary Term: 77 months; Extension Option: up to 90 months; Rent Commencement: 6th full month (or 7th if extended)</w:t>
      </w:r>
    </w:p>
    <w:p>
      <w:pPr>
        <w:spacing w:after="100"/>
      </w:pPr>
      <w:r>
        <w:rPr>
          <w:i/>
          <w:iCs/>
        </w:rPr>
        <w:t xml:space="preserve">    Citation: Pages 3-5</w:t>
      </w:r>
    </w:p>
    <w:p>
      <w:pPr>
        <w:spacing w:after="100"/>
      </w:pPr>
      <w:r>
        <w:rPr>
          <w:b/>
          <w:bCs/>
        </w:rPr>
        <w:t xml:space="preserve">  Narrative: </w:t>
      </w:r>
      <w:r>
        <w:t xml:space="preserve">As indicated by the area on Exhibit A attached to the Lease, situated on the 6th floor in the building commonly known as PH Office 2, LLC (the "Building") located at 5100 W. J.B. Hunt Drive, Suite 602, Rogers, Arkansas 72758. The Premises consists of approximately Fourteen Thousand Six Hundred Forty Two (14,642) usable square feet and Seventeen Thousand Ninety (17,090) rentable square feet. Primary Term shall end on the last day of the seventy‑seventh (77th) full month. Tenant may extend the term to ninety (90) months within fourteen (14) days of the Commencement Date (later restated as twenty‑one (21) days). Rent Commences on the first day of the sixth (6th) full month of the Primary Term (or the seventh (7th) full month if the extension is exercised).</w:t>
      </w:r>
    </w:p>
    <w:p>
      <w:pPr>
        <w:spacing w:after="100"/>
      </w:pPr>
      <w:r>
        <w:rPr>
          <w:i/>
          <w:iCs/>
        </w:rPr>
        <w:t xml:space="preserve">    Citation: Pages 3-5</w:t>
      </w:r>
    </w:p>
    <w:p>
      <w:pPr>
        <w:spacing w:before="200" w:after="150"/>
      </w:pPr>
      <w:r>
        <w:rPr>
          <w:b/>
          <w:bCs/>
        </w:rPr>
        <w:t xml:space="preserve">Taxes</w:t>
      </w:r>
    </w:p>
    <w:p>
      <w:pPr>
        <w:spacing w:after="100"/>
      </w:pPr>
      <w:r>
        <w:rPr>
          <w:b/>
          <w:bCs/>
        </w:rPr>
        <w:t xml:space="preserve">  Synopsis: </w:t>
      </w:r>
      <w:r>
        <w:t xml:space="preserve">Landlord pays real property taxes; any amount exceeding the Base Year (calendar year 2016) is passed through to Tenant on a pro‑rata basis. Tenant is responsible for taxes on personal property and fixtures.</w:t>
      </w:r>
    </w:p>
    <w:p>
      <w:pPr>
        <w:spacing w:after="100"/>
      </w:pPr>
      <w:r>
        <w:rPr>
          <w:i/>
          <w:iCs/>
        </w:rPr>
        <w:t xml:space="preserve">    Citation: Pages 8-9</w:t>
      </w:r>
    </w:p>
    <w:p>
      <w:pPr>
        <w:spacing w:after="100"/>
      </w:pPr>
      <w:r>
        <w:rPr>
          <w:b/>
          <w:bCs/>
        </w:rPr>
        <w:t xml:space="preserve">  Definition: </w:t>
      </w:r>
      <w:r>
        <w:t xml:space="preserve">"Taxes" means real property taxes and special assessments on the Premises, Land and improvements, and personal property taxes on Tenant’s fixtures.</w:t>
      </w:r>
    </w:p>
    <w:p>
      <w:pPr>
        <w:spacing w:after="100"/>
      </w:pPr>
      <w:r>
        <w:rPr>
          <w:i/>
          <w:iCs/>
        </w:rPr>
        <w:t xml:space="preserve">    Citation: Pages 8-9</w:t>
      </w:r>
    </w:p>
    <w:p>
      <w:pPr>
        <w:spacing w:after="100"/>
      </w:pPr>
      <w:r>
        <w:rPr>
          <w:b/>
          <w:bCs/>
        </w:rPr>
        <w:t xml:space="preserve">  Key Parameters: </w:t>
      </w:r>
      <w:r>
        <w:t xml:space="preserve">Base Year: 2016; Pass‑through threshold: any tax amount exceeding Base Year; Tenant liability for personal property taxes.</w:t>
      </w:r>
    </w:p>
    <w:p>
      <w:pPr>
        <w:spacing w:after="100"/>
      </w:pPr>
      <w:r>
        <w:rPr>
          <w:i/>
          <w:iCs/>
        </w:rPr>
        <w:t xml:space="preserve">    Citation: Pages 8-9</w:t>
      </w:r>
    </w:p>
    <w:p>
      <w:pPr>
        <w:spacing w:after="100"/>
      </w:pPr>
      <w:r>
        <w:rPr>
          <w:b/>
          <w:bCs/>
        </w:rPr>
        <w:t xml:space="preserve">  Narrative: </w:t>
      </w:r>
      <w:r>
        <w:t xml:space="preserve">Landlord agrees to pay all real property taxes and special assessments that accrue against the Premises, and/or the Land and/or improvements of which the Premises are a part. Property taxes incurred in any year during the lease term which exceed the taxes on the property during the "Base Year" (2016) will be passed through to building tenants based on a pro‑rata square footage basis. Tenant shall be liable for all taxes levied or assessed against any personal property or fixtures placed in the Premises.</w:t>
      </w:r>
    </w:p>
    <w:p>
      <w:pPr>
        <w:spacing w:after="100"/>
      </w:pPr>
      <w:r>
        <w:rPr>
          <w:i/>
          <w:iCs/>
        </w:rPr>
        <w:t xml:space="preserve">    Citation: Pages 8-9</w:t>
      </w:r>
    </w:p>
    <w:p>
      <w:pPr>
        <w:spacing w:before="200" w:after="150"/>
      </w:pPr>
      <w:r>
        <w:rPr>
          <w:b/>
          <w:bCs/>
        </w:rPr>
        <w:t xml:space="preserve">Operating Expenses</w:t>
      </w:r>
    </w:p>
    <w:p>
      <w:pPr>
        <w:spacing w:after="100"/>
      </w:pPr>
      <w:r>
        <w:rPr>
          <w:b/>
          <w:bCs/>
        </w:rPr>
        <w:t xml:space="preserve">  Synopsis: </w:t>
      </w:r>
      <w:r>
        <w:t xml:space="preserve">Operating expenses in excess of the Base Year (2016) are passed through to Tenant on a pro‑rata basis. Tenant pays its share as Additional Rent monthly, with annual reconciliation.</w:t>
      </w:r>
    </w:p>
    <w:p>
      <w:pPr>
        <w:spacing w:after="100"/>
      </w:pPr>
      <w:r>
        <w:rPr>
          <w:i/>
          <w:iCs/>
        </w:rPr>
        <w:t xml:space="preserve">    Citation: Pages 8-10</w:t>
      </w:r>
    </w:p>
    <w:p>
      <w:pPr>
        <w:spacing w:after="100"/>
      </w:pPr>
      <w:r>
        <w:rPr>
          <w:b/>
          <w:bCs/>
        </w:rPr>
        <w:t xml:space="preserve">  Definition: </w:t>
      </w:r>
      <w:r>
        <w:t xml:space="preserve">"Operating Expenses" means the actual ordinary and reasonable costs and expenses incurred by Landlord for ownership, management, maintenance, repair, replacement, restoration or operation of the Real Property, excluding capital improvements, casualty repairs, financing costs, depreciation, leasing commissions, legal fees, and other excluded items.</w:t>
      </w:r>
    </w:p>
    <w:p>
      <w:pPr>
        <w:spacing w:after="100"/>
      </w:pPr>
      <w:r>
        <w:rPr>
          <w:i/>
          <w:iCs/>
        </w:rPr>
        <w:t xml:space="preserve">    Citation: Pages 9-10</w:t>
      </w:r>
    </w:p>
    <w:p>
      <w:pPr>
        <w:spacing w:after="100"/>
      </w:pPr>
      <w:r>
        <w:rPr>
          <w:b/>
          <w:bCs/>
        </w:rPr>
        <w:t xml:space="preserve">  Key Parameters: </w:t>
      </w:r>
      <w:r>
        <w:t xml:space="preserve">Base Year: 2016; Pass‑through threshold: expenses exceeding Base Year; Tenant Share: proportional to rentable square footage; Controllable expense cap: 5% annual increase.</w:t>
      </w:r>
    </w:p>
    <w:p>
      <w:pPr>
        <w:spacing w:after="100"/>
      </w:pPr>
      <w:r>
        <w:rPr>
          <w:i/>
          <w:iCs/>
        </w:rPr>
        <w:t xml:space="preserve">    Citation: Pages 9-10</w:t>
      </w:r>
    </w:p>
    <w:p>
      <w:pPr>
        <w:spacing w:after="100"/>
      </w:pPr>
      <w:r>
        <w:rPr>
          <w:b/>
          <w:bCs/>
        </w:rPr>
        <w:t xml:space="preserve">  Billing Timeline: </w:t>
      </w:r>
      <w:r>
        <w:t xml:space="preserve">Landlord provides an annual statement within ninety (90) days after year‑end; Tenant pays monthly Additional Rent based on estimated increase; any over‑payment or under‑payment reconciled within thirty (30) days of receipt of the Annual Statement.</w:t>
      </w:r>
    </w:p>
    <w:p>
      <w:pPr>
        <w:spacing w:after="100"/>
      </w:pPr>
      <w:r>
        <w:rPr>
          <w:i/>
          <w:iCs/>
        </w:rPr>
        <w:t xml:space="preserve">    Citation: Pages 9-10</w:t>
      </w:r>
    </w:p>
    <w:p>
      <w:pPr>
        <w:spacing w:after="100"/>
      </w:pPr>
      <w:r>
        <w:rPr>
          <w:b/>
          <w:bCs/>
        </w:rPr>
        <w:t xml:space="preserve">  Formulas: </w:t>
      </w:r>
      <w:r>
        <w:t xml:space="preserve">Tenant's Proportionate Share = (Tenant Rentable Sq Ft ÷ Building Total Rentable Sq Ft) × 100%; Additional Rent = Tenant's Share × (Operating Expenses – Base Year Expenses).</w:t>
      </w:r>
    </w:p>
    <w:p>
      <w:pPr>
        <w:spacing w:after="100"/>
      </w:pPr>
      <w:r>
        <w:rPr>
          <w:i/>
          <w:iCs/>
        </w:rPr>
        <w:t xml:space="preserve">    Citation: Pages 9-10</w:t>
      </w:r>
    </w:p>
    <w:p>
      <w:pPr>
        <w:spacing w:after="100"/>
      </w:pPr>
      <w:r>
        <w:rPr>
          <w:b/>
          <w:bCs/>
        </w:rPr>
        <w:t xml:space="preserve">  Capital Rules: </w:t>
      </w:r>
      <w:r>
        <w:t xml:space="preserve">Capital improvements are excluded from Operating Expenses unless they directly reduce Tenant's Operating Expenses; such costs are amortized on a straight‑line basis over their useful life. Tenant‑caused capital improvements are amortized over the remainder of the lease term.</w:t>
      </w:r>
    </w:p>
    <w:p>
      <w:pPr>
        <w:spacing w:after="100"/>
      </w:pPr>
      <w:r>
        <w:rPr>
          <w:i/>
          <w:iCs/>
        </w:rPr>
        <w:t xml:space="preserve">    Citation: Pages 9-10</w:t>
      </w:r>
    </w:p>
    <w:p>
      <w:pPr>
        <w:spacing w:after="100"/>
      </w:pPr>
      <w:r>
        <w:rPr>
          <w:b/>
          <w:bCs/>
        </w:rPr>
        <w:t xml:space="preserve">  Narrative: </w:t>
      </w:r>
      <w:r>
        <w:t xml:space="preserve">Operating expenses (as defined herein) incurred in any year during the lease term which exceed the operating expenses on the Building for the Base Year (2016) will be passed through to the Building tenants on a prorata basis. Operating Expenses shall be adjusted to reflect the Operating ... Controllable Operating Expenses shall not increase by more than five percent (5%) annually following Tenant's Base Year. Landlord shall send to Tenant a written statement of the amount of Tenant's Proportionate Share of any estimated increase in Operating Expenses and Tenant shall pay to Landlord, monthly as Additional Rent, Tenant's prorata share of such increase in Operating Expenses. Within ninety (90) days after the end of each calendar year, Landlord shall send an annual statement of Operating Expenses ...</w:t>
      </w:r>
    </w:p>
    <w:p>
      <w:pPr>
        <w:spacing w:after="100"/>
      </w:pPr>
      <w:r>
        <w:rPr>
          <w:i/>
          <w:iCs/>
        </w:rPr>
        <w:t xml:space="preserve">    Citation: Pages 9-10</w:t>
      </w:r>
    </w:p>
    <w:p>
      <w:pPr>
        <w:spacing w:before="200" w:after="150"/>
      </w:pPr>
      <w:r>
        <w:rPr>
          <w:b/>
          <w:bCs/>
        </w:rPr>
        <w:t xml:space="preserve">Repairs And Maintenance</w:t>
      </w:r>
    </w:p>
    <w:p>
      <w:pPr>
        <w:spacing w:after="100"/>
      </w:pPr>
      <w:r>
        <w:rPr>
          <w:b/>
          <w:bCs/>
        </w:rPr>
        <w:t xml:space="preserve">  Synopsis: </w:t>
      </w:r>
      <w:r>
        <w:t xml:space="preserve">Landlord is responsible for structural components, roof, foundation, exterior walls, common areas, and building systems. Tenant is responsible for interior premises, appliances, and any damage caused by Tenant.</w:t>
      </w:r>
    </w:p>
    <w:p>
      <w:pPr>
        <w:spacing w:after="100"/>
      </w:pPr>
      <w:r>
        <w:rPr>
          <w:i/>
          <w:iCs/>
        </w:rPr>
        <w:t xml:space="preserve">    Citation: Pages 11-12</w:t>
      </w:r>
    </w:p>
    <w:p>
      <w:pPr>
        <w:spacing w:after="100"/>
      </w:pPr>
      <w:r>
        <w:rPr>
          <w:b/>
          <w:bCs/>
        </w:rPr>
        <w:t xml:space="preserve">  Narrative: </w:t>
      </w:r>
      <w:r>
        <w:t xml:space="preserve">Landlord shall make all repairs and replacements to the Building (including Building fixtures and equipment) and Common Areas as required to keep such areas in good operating condition, except for specific repairs and replacements that Tenant must make. Landlord's responsibilities include roof, foundation, exterior walls, structural components, common areas, grounds, walkways, windows, and Building Systems. Tenant shall maintain all parts of the usable Premises it occupies in good condition and promptly make necessary repairs. Tenant shall be responsible for the maintenance of Tenant's appliances not attached to the Premises.</w:t>
      </w:r>
    </w:p>
    <w:p>
      <w:pPr>
        <w:spacing w:after="100"/>
      </w:pPr>
      <w:r>
        <w:rPr>
          <w:i/>
          <w:iCs/>
        </w:rPr>
        <w:t xml:space="preserve">    Citation: Pages 11-12</w:t>
      </w:r>
    </w:p>
    <w:p>
      <w:pPr>
        <w:spacing w:before="200" w:after="150"/>
      </w:pPr>
      <w:r>
        <w:rPr>
          <w:b/>
          <w:bCs/>
        </w:rPr>
        <w:t xml:space="preserve">Alterations</w:t>
      </w:r>
    </w:p>
    <w:p>
      <w:pPr>
        <w:spacing w:after="100"/>
      </w:pPr>
      <w:r>
        <w:rPr>
          <w:b/>
          <w:bCs/>
        </w:rPr>
        <w:t xml:space="preserve">  Synopsis: </w:t>
      </w:r>
      <w:r>
        <w:t xml:space="preserve">Tenant may not make alterations, additions or improvements without Landlord's prior written consent, which shall not be unreasonably withheld. Alterations must not affect the building structure, must be restored at lease end, and roof access is prohibited.</w:t>
      </w:r>
    </w:p>
    <w:p>
      <w:pPr>
        <w:spacing w:after="100"/>
      </w:pPr>
      <w:r>
        <w:rPr>
          <w:i/>
          <w:iCs/>
        </w:rPr>
        <w:t xml:space="preserve">    Citation: Pages 10-12</w:t>
      </w:r>
    </w:p>
    <w:p>
      <w:pPr>
        <w:spacing w:before="200" w:after="150"/>
      </w:pPr>
      <w:r>
        <w:rPr>
          <w:b/>
          <w:bCs/>
        </w:rPr>
        <w:t xml:space="preserve">Signs</w:t>
      </w:r>
    </w:p>
    <w:p>
      <w:pPr>
        <w:spacing w:after="100"/>
      </w:pPr>
      <w:r>
        <w:rPr>
          <w:b/>
          <w:bCs/>
        </w:rPr>
        <w:t xml:space="preserve">  Synopsis: </w:t>
      </w:r>
      <w:r>
        <w:t xml:space="preserve">Tenant may install signage per Exhibit E, must comply with building standards and applicable laws, and must remove signage and restore the area at lease termination at Tenant's expense.</w:t>
      </w:r>
    </w:p>
    <w:p>
      <w:pPr>
        <w:spacing w:after="100"/>
      </w:pPr>
      <w:r>
        <w:rPr>
          <w:i/>
          <w:iCs/>
        </w:rPr>
        <w:t xml:space="preserve">    Citation: Pages 12-13</w:t>
      </w:r>
    </w:p>
    <w:p>
      <w:pPr>
        <w:spacing w:before="200" w:after="150"/>
      </w:pPr>
      <w:r>
        <w:rPr>
          <w:b/>
          <w:bCs/>
        </w:rPr>
        <w:t xml:space="preserve">Services</w:t>
      </w:r>
    </w:p>
    <w:p>
      <w:pPr>
        <w:spacing w:after="100"/>
      </w:pPr>
      <w:r>
        <w:rPr>
          <w:b/>
          <w:bCs/>
        </w:rPr>
        <w:t xml:space="preserve">  Synopsis: </w:t>
      </w:r>
      <w:r>
        <w:t xml:space="preserve">Landlord shall provide water, heating and air‑conditioning (temperature control), optional janitorial services, electricity for standard lighting, and building access. Additional temperature control for server rooms may be provided at Tenant’s expense.</w:t>
      </w:r>
    </w:p>
    <w:p>
      <w:pPr>
        <w:spacing w:after="100"/>
      </w:pPr>
      <w:r>
        <w:rPr>
          <w:i/>
          <w:iCs/>
        </w:rPr>
        <w:t xml:space="preserve">    Citation: Pages 13-14</w:t>
      </w:r>
    </w:p>
    <w:p>
      <w:pPr>
        <w:spacing w:before="200" w:after="150"/>
      </w:pPr>
      <w:r>
        <w:rPr>
          <w:b/>
          <w:bCs/>
        </w:rPr>
        <w:t xml:space="preserve">Insurance</w:t>
      </w:r>
    </w:p>
    <w:p>
      <w:pPr>
        <w:spacing w:after="100"/>
      </w:pPr>
      <w:r>
        <w:rPr>
          <w:b/>
          <w:bCs/>
        </w:rPr>
        <w:t xml:space="preserve">  Synopsis: </w:t>
      </w:r>
      <w:r>
        <w:t xml:space="preserve">Landlord maintains building insurance with replacement cost coverage. Tenant maintains workers’ compensation ($2,000,000) and general liability ($4,000,000 per occurrence) and fire/extended coverage for Tenant Improvements.</w:t>
      </w:r>
    </w:p>
    <w:p>
      <w:pPr>
        <w:spacing w:after="100"/>
      </w:pPr>
      <w:r>
        <w:rPr>
          <w:i/>
          <w:iCs/>
        </w:rPr>
        <w:t xml:space="preserve">    Citation: Pages 14-15</w:t>
      </w:r>
    </w:p>
    <w:p>
      <w:pPr>
        <w:spacing w:after="100"/>
      </w:pPr>
      <w:r>
        <w:rPr>
          <w:b/>
          <w:bCs/>
        </w:rPr>
        <w:t xml:space="preserve">  Key Parameters: </w:t>
      </w:r>
      <w:r>
        <w:t xml:space="preserve">Landlord Insurance: Replacement cost; Tenant Workers’ Comp: $2,000,000; Tenant General Liability: $4,000,000 per occurrence; Tenant Fire &amp; Extended Coverage: Replacement cost of Tenant Improvements.</w:t>
      </w:r>
    </w:p>
    <w:p>
      <w:pPr>
        <w:spacing w:after="100"/>
      </w:pPr>
      <w:r>
        <w:rPr>
          <w:i/>
          <w:iCs/>
        </w:rPr>
        <w:t xml:space="preserve">    Citation: Pages 14-15</w:t>
      </w:r>
    </w:p>
    <w:p>
      <w:pPr>
        <w:spacing w:before="200" w:after="150"/>
      </w:pPr>
      <w:r>
        <w:rPr>
          <w:b/>
          <w:bCs/>
        </w:rPr>
        <w:t xml:space="preserve">Casualty</w:t>
      </w:r>
    </w:p>
    <w:p>
      <w:pPr>
        <w:spacing w:after="100"/>
      </w:pPr>
      <w:r>
        <w:rPr>
          <w:b/>
          <w:bCs/>
        </w:rPr>
        <w:t xml:space="preserve">  Synopsis: </w:t>
      </w:r>
      <w:r>
        <w:t xml:space="preserve">If the Premises are destroyed or damaged such that repairs cannot be completed within 120 days, the Lease terminates and rent is abated. If repairs are completed within 120 days, rent is abated proportionally during the repair period.</w:t>
      </w:r>
    </w:p>
    <w:p>
      <w:pPr>
        <w:spacing w:after="100"/>
      </w:pPr>
      <w:r>
        <w:rPr>
          <w:i/>
          <w:iCs/>
        </w:rPr>
        <w:t xml:space="preserve">    Citation: Pages 15-16</w:t>
      </w:r>
    </w:p>
    <w:p>
      <w:pPr>
        <w:spacing w:before="200" w:after="150"/>
      </w:pPr>
      <w:r>
        <w:rPr>
          <w:b/>
          <w:bCs/>
        </w:rPr>
        <w:t xml:space="preserve">Liability And Indemnification</w:t>
      </w:r>
    </w:p>
    <w:p>
      <w:pPr>
        <w:spacing w:after="100"/>
      </w:pPr>
      <w:r>
        <w:rPr>
          <w:b/>
          <w:bCs/>
        </w:rPr>
        <w:t xml:space="preserve">  Synopsis: </w:t>
      </w:r>
      <w:r>
        <w:t xml:space="preserve">Each party indemnifies the other against claims arising from the other’s negligence, except for the indemnifying party’s own gross negligence or intentional acts. Each party also agrees to defend the other in such claims.</w:t>
      </w:r>
    </w:p>
    <w:p>
      <w:pPr>
        <w:spacing w:after="100"/>
      </w:pPr>
      <w:r>
        <w:rPr>
          <w:i/>
          <w:iCs/>
        </w:rPr>
        <w:t xml:space="preserve">    Citation: Pages 16-17</w:t>
      </w:r>
    </w:p>
    <w:p>
      <w:pPr>
        <w:spacing w:before="200" w:after="150"/>
      </w:pPr>
      <w:r>
        <w:rPr>
          <w:b/>
          <w:bCs/>
        </w:rPr>
        <w:t xml:space="preserve">Use</w:t>
      </w:r>
    </w:p>
    <w:p>
      <w:pPr>
        <w:spacing w:after="100"/>
      </w:pPr>
      <w:r>
        <w:rPr>
          <w:b/>
          <w:bCs/>
        </w:rPr>
        <w:t xml:space="preserve">  Synopsis: </w:t>
      </w:r>
      <w:r>
        <w:t xml:space="preserve">Premises shall be used only for Tenant’s business offices and lawful purposes. Storage of trucks or vehicles requires Landlord’s consent. Tenant must comply with all applicable laws and building rules.</w:t>
      </w:r>
    </w:p>
    <w:p>
      <w:pPr>
        <w:spacing w:after="100"/>
      </w:pPr>
      <w:r>
        <w:rPr>
          <w:i/>
          <w:iCs/>
        </w:rPr>
        <w:t xml:space="preserve">    Citation: Pages 15-16</w:t>
      </w:r>
    </w:p>
    <w:p>
      <w:pPr>
        <w:spacing w:before="200" w:after="150"/>
      </w:pPr>
      <w:r>
        <w:rPr>
          <w:b/>
          <w:bCs/>
        </w:rPr>
        <w:t xml:space="preserve">Landlords Right Of Entry</w:t>
      </w:r>
    </w:p>
    <w:p>
      <w:pPr>
        <w:spacing w:after="100"/>
      </w:pPr>
      <w:r>
        <w:rPr>
          <w:b/>
          <w:bCs/>
        </w:rPr>
        <w:t xml:space="preserve">  Synopsis: </w:t>
      </w:r>
      <w:r>
        <w:t xml:space="preserve">Landlord may enter the Premises with twenty‑four (24) hour notice for inspections, repairs, or showing to prospective purchasers; emergency entry requires no notice.</w:t>
      </w:r>
    </w:p>
    <w:p>
      <w:pPr>
        <w:spacing w:after="100"/>
      </w:pPr>
      <w:r>
        <w:rPr>
          <w:i/>
          <w:iCs/>
        </w:rPr>
        <w:t xml:space="preserve">    Citation: Pages 16-17</w:t>
      </w:r>
    </w:p>
    <w:p>
      <w:pPr>
        <w:spacing w:before="200" w:after="150"/>
      </w:pPr>
      <w:r>
        <w:rPr>
          <w:b/>
          <w:bCs/>
        </w:rPr>
        <w:t xml:space="preserve">Assignment And Subletting</w:t>
      </w:r>
    </w:p>
    <w:p>
      <w:pPr>
        <w:spacing w:after="100"/>
      </w:pPr>
      <w:r>
        <w:rPr>
          <w:b/>
          <w:bCs/>
        </w:rPr>
        <w:t xml:space="preserve">  Synopsis: </w:t>
      </w:r>
      <w:r>
        <w:t xml:space="preserve">Tenant may assign or sublet with Landlord’s prior written consent (not unreasonably withheld). Subtenant must have net worth of at least $100,000,000. If subtenant pays rent above Base Rent, Tenant must remit 50% of the excess to Landlord. Bankruptcy assignments are addressed.</w:t>
      </w:r>
    </w:p>
    <w:p>
      <w:pPr>
        <w:spacing w:after="100"/>
      </w:pPr>
      <w:r>
        <w:rPr>
          <w:i/>
          <w:iCs/>
        </w:rPr>
        <w:t xml:space="preserve">    Citation: Pages 16-18</w:t>
      </w:r>
    </w:p>
    <w:p>
      <w:pPr>
        <w:spacing w:before="200" w:after="150"/>
      </w:pPr>
      <w:r>
        <w:rPr>
          <w:b/>
          <w:bCs/>
        </w:rPr>
        <w:t xml:space="preserve">Parking</w:t>
      </w:r>
    </w:p>
    <w:p>
      <w:pPr>
        <w:spacing w:after="100"/>
      </w:pPr>
      <w:r>
        <w:rPr>
          <w:b/>
          <w:bCs/>
        </w:rPr>
        <w:t xml:space="preserve">  Synopsis: </w:t>
      </w:r>
      <w:r>
        <w:t xml:space="preserve">Tenant is entitled to not less than 4.5 parking spaces per 1,000 rentable square feet at no charge. No exclusive reserved spaces are provided to Tenant.</w:t>
      </w:r>
    </w:p>
    <w:p>
      <w:pPr>
        <w:spacing w:after="100"/>
      </w:pPr>
      <w:r>
        <w:rPr>
          <w:i/>
          <w:iCs/>
        </w:rPr>
        <w:t xml:space="preserve">    Citation: Page 18</w:t>
      </w:r>
    </w:p>
    <w:p>
      <w:pPr>
        <w:spacing w:before="200" w:after="150"/>
      </w:pPr>
      <w:r>
        <w:rPr>
          <w:b/>
          <w:bCs/>
        </w:rPr>
        <w:t xml:space="preserve">Condemnation</w:t>
      </w:r>
    </w:p>
    <w:p>
      <w:pPr>
        <w:spacing w:after="100"/>
      </w:pPr>
      <w:r>
        <w:rPr>
          <w:b/>
          <w:bCs/>
        </w:rPr>
        <w:t xml:space="preserve">  Synopsis: </w:t>
      </w:r>
      <w:r>
        <w:t xml:space="preserve">If more than 50% of the Premises is taken by eminent domain, the Lease terminates and rent is abated. If less than 50% is taken, rent is reduced proportionally; compensation goes to Landlord.</w:t>
      </w:r>
    </w:p>
    <w:p>
      <w:pPr>
        <w:spacing w:after="100"/>
      </w:pPr>
      <w:r>
        <w:rPr>
          <w:i/>
          <w:iCs/>
        </w:rPr>
        <w:t xml:space="preserve">    Citation: Page 18</w:t>
      </w:r>
    </w:p>
    <w:p>
      <w:pPr>
        <w:spacing w:before="200" w:after="150"/>
      </w:pPr>
      <w:r>
        <w:rPr>
          <w:b/>
          <w:bCs/>
        </w:rPr>
        <w:t xml:space="preserve">Holdover</w:t>
      </w:r>
    </w:p>
    <w:p>
      <w:pPr>
        <w:spacing w:after="100"/>
      </w:pPr>
      <w:r>
        <w:rPr>
          <w:b/>
          <w:bCs/>
        </w:rPr>
        <w:t xml:space="preserve">  Synopsis: </w:t>
      </w:r>
      <w:r>
        <w:t xml:space="preserve">If Tenant holds over after lease expiration, a month‑to‑month tenancy is created with rent at 150% of the regular rent plus Operating Expenses and Taxes. If holdover exceeds three months, additional damages may be assessed.</w:t>
      </w:r>
    </w:p>
    <w:p>
      <w:pPr>
        <w:spacing w:after="100"/>
      </w:pPr>
      <w:r>
        <w:rPr>
          <w:i/>
          <w:iCs/>
        </w:rPr>
        <w:t xml:space="preserve">    Citation: Pages 18-19</w:t>
      </w:r>
    </w:p>
    <w:p>
      <w:pPr>
        <w:spacing w:before="200" w:after="150"/>
      </w:pPr>
      <w:r>
        <w:rPr>
          <w:b/>
          <w:bCs/>
        </w:rPr>
        <w:t xml:space="preserve">Quiet Enjoyment</w:t>
      </w:r>
    </w:p>
    <w:p>
      <w:pPr>
        <w:spacing w:after="100"/>
      </w:pPr>
      <w:r>
        <w:rPr>
          <w:b/>
          <w:bCs/>
        </w:rPr>
        <w:t xml:space="preserve">  Synopsis: </w:t>
      </w:r>
      <w:r>
        <w:t xml:space="preserve">Tenant shall peacefully and quietly enjoy the Premises provided rent is paid and covenants are performed.</w:t>
      </w:r>
    </w:p>
    <w:p>
      <w:pPr>
        <w:spacing w:after="100"/>
      </w:pPr>
      <w:r>
        <w:rPr>
          <w:i/>
          <w:iCs/>
        </w:rPr>
        <w:t xml:space="preserve">    Citation: Page 19</w:t>
      </w:r>
    </w:p>
    <w:p>
      <w:pPr>
        <w:spacing w:before="200" w:after="150"/>
      </w:pPr>
      <w:r>
        <w:rPr>
          <w:b/>
          <w:bCs/>
        </w:rPr>
        <w:t xml:space="preserve">Default And Remedies</w:t>
      </w:r>
    </w:p>
    <w:p>
      <w:pPr>
        <w:spacing w:after="100"/>
      </w:pPr>
      <w:r>
        <w:rPr>
          <w:b/>
          <w:bCs/>
        </w:rPr>
        <w:t xml:space="preserve">  Synopsis: </w:t>
      </w:r>
      <w:r>
        <w:t xml:space="preserve">Events of default include non‑payment of rent (5 business days after notice), insolvency, breach of covenants, and failure to cure within specified periods. Late charge is 5% of overdue amount. Landlord may terminate, relet, or pursue other remedies.</w:t>
      </w:r>
    </w:p>
    <w:p>
      <w:pPr>
        <w:spacing w:after="100"/>
      </w:pPr>
      <w:r>
        <w:rPr>
          <w:i/>
          <w:iCs/>
        </w:rPr>
        <w:t xml:space="preserve">    Citation: Pages 20-21</w:t>
      </w:r>
    </w:p>
    <w:p>
      <w:pPr>
        <w:spacing w:before="200" w:after="150"/>
      </w:pPr>
      <w:r>
        <w:rPr>
          <w:b/>
          <w:bCs/>
        </w:rPr>
        <w:t xml:space="preserve">Subordination</w:t>
      </w:r>
    </w:p>
    <w:p>
      <w:pPr>
        <w:spacing w:after="100"/>
      </w:pPr>
      <w:r>
        <w:rPr>
          <w:b/>
          <w:bCs/>
        </w:rPr>
        <w:t xml:space="preserve">  Synopsis: </w:t>
      </w:r>
      <w:r>
        <w:t xml:space="preserve">Lease is subordinate to any existing or future mortgages, provided non‑disturbance language is included. Tenant must execute instruments as required by mortgagees.</w:t>
      </w:r>
    </w:p>
    <w:p>
      <w:pPr>
        <w:spacing w:after="100"/>
      </w:pPr>
      <w:r>
        <w:rPr>
          <w:i/>
          <w:iCs/>
        </w:rPr>
        <w:t xml:space="preserve">    Citation: Page 22</w:t>
      </w:r>
    </w:p>
    <w:p>
      <w:pPr>
        <w:spacing w:before="200" w:after="150"/>
      </w:pPr>
      <w:r>
        <w:rPr>
          <w:b/>
          <w:bCs/>
        </w:rPr>
        <w:t xml:space="preserve">Liens</w:t>
      </w:r>
    </w:p>
    <w:p>
      <w:pPr>
        <w:spacing w:after="100"/>
      </w:pPr>
      <w:r>
        <w:rPr>
          <w:b/>
          <w:bCs/>
        </w:rPr>
        <w:t xml:space="preserve">  Synopsis: </w:t>
      </w:r>
      <w:r>
        <w:t xml:space="preserve">Tenant may not place any lien or encumbrance on the Premises; must promptly notify Landlord of any lien claim.</w:t>
      </w:r>
    </w:p>
    <w:p>
      <w:pPr>
        <w:spacing w:after="100"/>
      </w:pPr>
      <w:r>
        <w:rPr>
          <w:i/>
          <w:iCs/>
        </w:rPr>
        <w:t xml:space="preserve">    Citation: Page 23</w:t>
      </w:r>
    </w:p>
    <w:p>
      <w:pPr>
        <w:spacing w:before="200" w:after="150"/>
      </w:pPr>
      <w:r>
        <w:rPr>
          <w:b/>
          <w:bCs/>
        </w:rPr>
        <w:t xml:space="preserve">Hazardous Materials</w:t>
      </w:r>
    </w:p>
    <w:p>
      <w:pPr>
        <w:spacing w:after="100"/>
      </w:pPr>
      <w:r>
        <w:rPr>
          <w:b/>
          <w:bCs/>
        </w:rPr>
        <w:t xml:space="preserve">  Synopsis: </w:t>
      </w:r>
      <w:r>
        <w:t xml:space="preserve">Tenant may not store or use toxic or hazardous materials except for office supplies and small‑quantity cleaning agents. Spills must be reported; cleanup costs are Tenant’s responsibility unless caused by Landlord.</w:t>
      </w:r>
    </w:p>
    <w:p>
      <w:pPr>
        <w:spacing w:after="100"/>
      </w:pPr>
      <w:r>
        <w:rPr>
          <w:i/>
          <w:iCs/>
        </w:rPr>
        <w:t xml:space="preserve">    Citation: Pages 24-25</w:t>
      </w:r>
    </w:p>
    <w:p>
      <w:pPr>
        <w:spacing w:before="200" w:after="150"/>
      </w:pPr>
      <w:r>
        <w:rPr>
          <w:b/>
          <w:bCs/>
        </w:rPr>
        <w:t xml:space="preserve">Rules And Regulations</w:t>
      </w:r>
    </w:p>
    <w:p>
      <w:pPr>
        <w:spacing w:after="100"/>
      </w:pPr>
      <w:r>
        <w:rPr>
          <w:b/>
          <w:bCs/>
        </w:rPr>
        <w:t xml:space="preserve">  Synopsis: </w:t>
      </w:r>
      <w:r>
        <w:t xml:space="preserve">Tenant must comply with all building rules and regulations attached as Exhibit C, including lock control, directory listings, signage restrictions, movement of goods, and prohibited activities.</w:t>
      </w:r>
    </w:p>
    <w:p>
      <w:pPr>
        <w:spacing w:after="100"/>
      </w:pPr>
      <w:r>
        <w:rPr>
          <w:i/>
          <w:iCs/>
        </w:rPr>
        <w:t xml:space="preserve">    Citation: Pages 34-36</w:t>
      </w:r>
    </w:p>
    <w:p>
      <w:pPr>
        <w:spacing w:before="200" w:after="150"/>
      </w:pPr>
      <w:r>
        <w:rPr>
          <w:b/>
          <w:bCs/>
        </w:rPr>
        <w:t xml:space="preserve">Brokerage</w:t>
      </w:r>
    </w:p>
    <w:p>
      <w:pPr>
        <w:spacing w:after="100"/>
      </w:pPr>
      <w:r>
        <w:rPr>
          <w:b/>
          <w:bCs/>
        </w:rPr>
        <w:t xml:space="preserve">  Synopsis: </w:t>
      </w:r>
      <w:r>
        <w:t xml:space="preserve">Sage Partners represents Tenant; Pinnacle Realty Group represents Landlord. Separate brokerage agreement to be executed.</w:t>
      </w:r>
    </w:p>
    <w:p>
      <w:pPr>
        <w:spacing w:after="100"/>
      </w:pPr>
      <w:r>
        <w:rPr>
          <w:i/>
          <w:iCs/>
        </w:rPr>
        <w:t xml:space="preserve">    Citation: Pages 4-5</w:t>
      </w:r>
    </w:p>
    <w:p>
      <w:pPr>
        <w:spacing w:before="200" w:after="150"/>
      </w:pPr>
      <w:r>
        <w:rPr>
          <w:b/>
          <w:bCs/>
        </w:rPr>
        <w:t xml:space="preserve">Estoppel</w:t>
      </w:r>
    </w:p>
    <w:p>
      <w:pPr>
        <w:spacing w:after="100"/>
      </w:pPr>
      <w:r>
        <w:rPr>
          <w:b/>
          <w:bCs/>
        </w:rPr>
        <w:t xml:space="preserve">  Synopsis: </w:t>
      </w:r>
      <w:r>
        <w:t xml:space="preserve">Tenant shall deliver an estoppel certificate upon Landlord’s request, confirming lease terms, rent status, and absence of defaults.</w:t>
      </w:r>
    </w:p>
    <w:p>
      <w:pPr>
        <w:spacing w:after="100"/>
      </w:pPr>
      <w:r>
        <w:rPr>
          <w:i/>
          <w:iCs/>
        </w:rPr>
        <w:t xml:space="preserve">    Citation: Page 24</w:t>
      </w:r>
    </w:p>
    <w:p>
      <w:pPr>
        <w:spacing w:before="200" w:after="150"/>
      </w:pPr>
      <w:r>
        <w:rPr>
          <w:b/>
          <w:bCs/>
        </w:rPr>
        <w:t xml:space="preserve">Notices</w:t>
      </w:r>
    </w:p>
    <w:p>
      <w:pPr>
        <w:spacing w:after="100"/>
      </w:pPr>
      <w:r>
        <w:rPr>
          <w:b/>
          <w:bCs/>
        </w:rPr>
        <w:t xml:space="preserve">  Synopsis: </w:t>
      </w:r>
      <w:r>
        <w:t xml:space="preserve">All notices must be delivered personally, by nationally recognized overnight carrier, or certified mail to the addresses set forth in the Basic Lease Information or as subsequently designated in writing.</w:t>
      </w:r>
    </w:p>
    <w:p>
      <w:pPr>
        <w:spacing w:after="100"/>
      </w:pPr>
      <w:r>
        <w:rPr>
          <w:i/>
          <w:iCs/>
        </w:rPr>
        <w:t xml:space="preserve">    Citation: Page 27</w:t>
      </w:r>
    </w:p>
    <w:p>
      <w:pPr>
        <w:spacing w:before="200" w:after="150"/>
      </w:pPr>
      <w:r>
        <w:rPr>
          <w:b/>
          <w:bCs/>
        </w:rPr>
        <w:t xml:space="preserve">Right Of First Refusal Offer</w:t>
      </w:r>
    </w:p>
    <w:p>
      <w:pPr>
        <w:spacing w:after="100"/>
      </w:pPr>
      <w:r>
        <w:rPr>
          <w:b/>
          <w:bCs/>
        </w:rPr>
        <w:t xml:space="preserve">  Synopsis: </w:t>
      </w:r>
      <w:r>
        <w:t xml:space="preserve">Tenant has a right of first refusal on adjacent space on the 6th floor. Tenant must notify Landlord within 10 business days of a third‑party offer and may exercise the right within 10 business days thereafter.</w:t>
      </w:r>
    </w:p>
    <w:p>
      <w:pPr>
        <w:spacing w:after="100"/>
      </w:pPr>
      <w:r>
        <w:rPr>
          <w:i/>
          <w:iCs/>
        </w:rPr>
        <w:t xml:space="preserve">    Citation: Page 27</w:t>
      </w:r>
    </w:p>
    <w:p>
      <w:pPr>
        <w:spacing w:before="200" w:after="150"/>
      </w:pPr>
      <w:r>
        <w:rPr>
          <w:b/>
          <w:bCs/>
        </w:rPr>
        <w:t xml:space="preserve">Expansion And Relocation</w:t>
      </w:r>
    </w:p>
    <w:p>
      <w:pPr>
        <w:spacing w:after="100"/>
      </w:pPr>
      <w:r>
        <w:rPr>
          <w:b/>
          <w:bCs/>
        </w:rPr>
        <w:t xml:space="preserve">  Synopsis: </w:t>
      </w:r>
      <w:r>
        <w:t xml:space="preserve">Tenant may expand into First Refusal Space under the same rent terms; Landlord shall not relocate Tenant during the Lease Term or any renewal periods.</w:t>
      </w:r>
    </w:p>
    <w:p>
      <w:pPr>
        <w:spacing w:after="100"/>
      </w:pPr>
      <w:r>
        <w:rPr>
          <w:i/>
          <w:iCs/>
        </w:rPr>
        <w:t xml:space="preserve">    Citation: Pages 27-31</w:t>
      </w:r>
    </w:p>
    <w:p>
      <w:pPr>
        <w:spacing w:before="200" w:after="150"/>
      </w:pPr>
      <w:r>
        <w:rPr>
          <w:b/>
          <w:bCs/>
        </w:rPr>
        <w:t xml:space="preserve">Landlord Default</w:t>
      </w:r>
    </w:p>
    <w:p>
      <w:pPr>
        <w:spacing w:after="100"/>
      </w:pPr>
      <w:r>
        <w:rPr>
          <w:b/>
          <w:bCs/>
        </w:rPr>
        <w:t xml:space="preserve">  Synopsis: </w:t>
      </w:r>
      <w:r>
        <w:t xml:space="preserve">If Landlord fails to cure a default within 30 days after notice, Tenant may treat it as a Landlord Default. Tenant may cure the default and offset costs against rent, or pursue other remedies. Landlord’s liability is limited to the equity interest in the Premises.</w:t>
      </w:r>
    </w:p>
    <w:p>
      <w:pPr>
        <w:spacing w:after="100"/>
      </w:pPr>
      <w:r>
        <w:rPr>
          <w:i/>
          <w:iCs/>
        </w:rPr>
        <w:t xml:space="preserve">    Citation: Pages 28-29</w:t>
      </w:r>
    </w:p>
    <w:p>
      <w:pPr>
        <w:spacing w:before="400" w:after="200"/>
        <w:jc w:val="center"/>
      </w:pPr>
      <w: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2025-11-03T14:49:48.182Z</dcterms:created>
  <dcterms:modified xsi:type="dcterms:W3CDTF">2025-11-03T14:49:48.182Z</dcterms:modified>
</cp:coreProperties>
</file>

<file path=docProps/custom.xml><?xml version="1.0" encoding="utf-8"?>
<Properties xmlns="http://schemas.openxmlformats.org/officeDocument/2006/custom-properties" xmlns:vt="http://schemas.openxmlformats.org/officeDocument/2006/docPropsVTypes"/>
</file>