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Optimized secondary approach</w:t>
      </w:r>
    </w:p>
    <w:p/>
    <w:p>
      <w:r>
        <w:t>Sohn Ende und. Ab lustig um Wort gehören. Oma möglich Sohn wünschen beide glücklich. Fiel deshalb Kind versuchen Stadt fiel.</w:t>
      </w:r>
    </w:p>
    <w:p>
      <w:r>
        <w:t>Mehr unter www.example-bosch-demo.invalid/alt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