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v5.5 — Multi-layered multi-state extranet</w:t>
      </w:r>
    </w:p>
    <w:p>
      <w:r>
        <w:t>v6.29 — Cross-group next generation open architecture</w:t>
      </w:r>
    </w:p>
    <w:p>
      <w:r>
        <w:t>v6.21 — Fully-configurable discrete utilization</w:t>
      </w:r>
    </w:p>
    <w:p>
      <w:r>
        <w:t>v5.13 — Persevering high-level archive</w:t>
      </w:r>
    </w:p>
    <w:p>
      <w:r>
        <w:t>v5.19 — Synchronized solution-oriented open system</w:t>
      </w:r>
    </w:p>
    <w:p>
      <w:r>
        <w:t>v8.7 — Automated heuristic open architecture</w:t>
      </w:r>
    </w:p>
    <w:p>
      <w:r>
        <w:t>v5.9 — Multi-lateral attitude-oriented strategy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