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v7.14 — Operative bottom-line circuit</w:t>
      </w:r>
    </w:p>
    <w:p>
      <w:r>
        <w:t>v8.24 — Optimized systemic leverage</w:t>
      </w:r>
    </w:p>
    <w:p>
      <w:r>
        <w:t>v9.18 — Advanced client-server moderator</w:t>
      </w:r>
    </w:p>
    <w:p>
      <w:r>
        <w:t>v5.9 — Robust user-facing success</w:t>
      </w:r>
    </w:p>
    <w:p>
      <w:r>
        <w:t>v2.8 — Fully-configurable regional system engine</w:t>
      </w:r>
    </w:p>
    <w:p>
      <w:r>
        <w:t>v2.12 — Reactive modular Local Area Network</w:t>
      </w:r>
    </w:p>
    <w:p>
      <w:r>
        <w:t>v1.7 — Fully-configurable 24hour open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