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v8.15 — Public-key content-based product</w:t>
      </w:r>
    </w:p>
    <w:p>
      <w:r>
        <w:t>v7.29 — Operative stable product</w:t>
      </w:r>
    </w:p>
    <w:p>
      <w:r>
        <w:t>v9.24 — Configurable hybrid alliance</w:t>
      </w:r>
    </w:p>
    <w:p>
      <w:r>
        <w:t>v5.21 — Inverse 6thgeneration challenge</w:t>
      </w:r>
    </w:p>
    <w:p>
      <w:r>
        <w:t>v3.14 — Cloned 3rdgeneration strategy</w:t>
      </w:r>
    </w:p>
    <w:p>
      <w:r>
        <w:t>v2.13 — Right-sized non-volatile approach</w:t>
      </w:r>
    </w:p>
    <w:p>
      <w:r>
        <w:t>v1.26 — Total impactful focus group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