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v3.5 — Persistent eco-centric pricing structure</w:t>
      </w:r>
    </w:p>
    <w:p>
      <w:r>
        <w:t>v3.9 — Progressive 6thgeneration capability</w:t>
      </w:r>
    </w:p>
    <w:p>
      <w:r>
        <w:t>v4.22 — Multi-tiered stable Local Area Network</w:t>
      </w:r>
    </w:p>
    <w:p>
      <w:r>
        <w:t>v7.14 — Ameliorated tertiary encryption</w:t>
      </w:r>
    </w:p>
    <w:p>
      <w:r>
        <w:t>v5.28 — Compatible modular capability</w:t>
      </w:r>
    </w:p>
    <w:p>
      <w:r>
        <w:t>v8.25 — Quality-focused cohesive knowledgebase</w:t>
      </w:r>
    </w:p>
    <w:p>
      <w:r>
        <w:t>v6.14 — Sharable content-based projection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