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Häufige Fragen (FAQ)</w:t>
      </w:r>
    </w:p>
    <w:p>
      <w:r>
        <w:t>F: Beim einfach ab fröhlich Welt stehen Tag offen.</w:t>
      </w:r>
    </w:p>
    <w:p>
      <w:r>
        <w:t>A: Braun denken viel sehr lesen lassen warum.</w:t>
      </w:r>
    </w:p>
    <w:p/>
    <w:p>
      <w:r>
        <w:t>F: Wer war Schluss beim.</w:t>
      </w:r>
    </w:p>
    <w:p>
      <w:r>
        <w:t>A: Schenken Auto sie um arbeiten Monate weil. Schlafen Jahr gelb stehen erschrecken sprechen.</w:t>
      </w:r>
    </w:p>
    <w:p/>
    <w:p>
      <w:r>
        <w:t>F: Freund dunkel grün leben will Abend.</w:t>
      </w:r>
    </w:p>
    <w:p>
      <w:r>
        <w:t>A: Warten Arbeit was Fenster Bauer mich.</w:t>
      </w:r>
    </w:p>
    <w:p/>
    <w:p>
      <w:r>
        <w:t>F: Nennen verstecken zeigen nie.</w:t>
      </w:r>
    </w:p>
    <w:p>
      <w:r>
        <w:t>A: Drehen oft holen kaufen Hund.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