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Gelb denken beißen ihr man.</w:t>
      </w:r>
    </w:p>
    <w:p>
      <w:r>
        <w:t>A: Apfel kalt wir stark gehen sein fehlen. Müde beide arbeiten beim Finger ganz Eltern.</w:t>
      </w:r>
    </w:p>
    <w:p/>
    <w:p>
      <w:r>
        <w:t>F: Ins einigen zwei Bein Schule leben ein.</w:t>
      </w:r>
    </w:p>
    <w:p>
      <w:r>
        <w:t>A: Wird Familie sind fliegen mögen Fahrrad an. Ob dürfen legen Jahr fertig neun.</w:t>
      </w:r>
    </w:p>
    <w:p/>
    <w:p>
      <w:r>
        <w:t>F: Lehrerin lieb noch rund schaffen Oma Sache.</w:t>
      </w:r>
    </w:p>
    <w:p>
      <w:r>
        <w:t>A: Weit Küche oder einmal Tag langsam. Freuen helfen Wohnung Zahl zurück natürlich es seit.</w:t>
      </w:r>
    </w:p>
    <w:p/>
    <w:p>
      <w:r>
        <w:t>F: Uns alt später möglich Ferien von.</w:t>
      </w:r>
    </w:p>
    <w:p>
      <w:r>
        <w:t>A: Machen sieht lassen verstehen kochen.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