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17.03.2025</w:t>
      </w:r>
    </w:p>
    <w:p>
      <w:r>
        <w:t>Themen:</w:t>
      </w:r>
    </w:p>
    <w:p>
      <w:r>
        <w:t xml:space="preserve">  * optimize integrated vortals</w:t>
      </w:r>
    </w:p>
    <w:p>
      <w:r>
        <w:t xml:space="preserve">  * envisioneer bricks-and-clicks info-mediaries</w:t>
      </w:r>
    </w:p>
    <w:p>
      <w:r>
        <w:t xml:space="preserve">  * benchmark synergistic communities</w:t>
      </w:r>
    </w:p>
    <w:p>
      <w:r>
        <w:t xml:space="preserve">  * e-enable end-to-end technologies</w:t>
      </w:r>
    </w:p>
    <w:p>
      <w:r>
        <w:t>Nächstes Review: KW5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