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v8.9.0</w:t>
      </w:r>
    </w:p>
    <w:p>
      <w:r>
        <w:t>==============================</w:t>
      </w:r>
    </w:p>
    <w:p>
      <w:r>
        <w:t>- [JIRA-6210] Focused client-server installation</w:t>
      </w:r>
    </w:p>
    <w:p>
      <w:r>
        <w:t>- [JIRA-9019] Multi-channeled dynamic infrastructure</w:t>
      </w:r>
    </w:p>
    <w:p>
      <w:r>
        <w:t>- [JIRA-2860] Synergized value-added encoding</w:t>
      </w:r>
    </w:p>
    <w:p>
      <w:r>
        <w:t>- [JIRA-9115] Profit-focused impactful budgetary management</w:t>
      </w:r>
    </w:p>
    <w:p>
      <w:r>
        <w:t>- [JIRA-3213] Ameliorated bi-directional product</w:t>
      </w:r>
    </w:p>
    <w:p>
      <w:r>
        <w:t>- [JIRA-6144] Synergistic contextually-based initiative</w:t>
      </w:r>
    </w:p>
    <w:p>
      <w:r>
        <w:t>Build-Hash: 1c8b1bd403a6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