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v5.3.3</w:t>
      </w:r>
    </w:p>
    <w:p>
      <w:r>
        <w:t>==============================</w:t>
      </w:r>
    </w:p>
    <w:p>
      <w:r>
        <w:t>- [JIRA-4879] Mandatory web-enabled circuit</w:t>
      </w:r>
    </w:p>
    <w:p>
      <w:r>
        <w:t>- [JIRA-6113] Advanced executive Graphical User Interface</w:t>
      </w:r>
    </w:p>
    <w:p>
      <w:r>
        <w:t>- [JIRA-9017] Team-oriented system-worthy task-force</w:t>
      </w:r>
    </w:p>
    <w:p>
      <w:r>
        <w:t>- [JIRA-5063] Virtual 24/7 moratorium</w:t>
      </w:r>
    </w:p>
    <w:p>
      <w:r>
        <w:t>- [JIRA-3366] Expanded object-oriented alliance</w:t>
      </w:r>
    </w:p>
    <w:p>
      <w:r>
        <w:t>Build-Hash: 8aa1ce888d29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