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v1.15.0</w:t>
      </w:r>
    </w:p>
    <w:p>
      <w:r>
        <w:t>==============================</w:t>
      </w:r>
    </w:p>
    <w:p>
      <w:r>
        <w:t>- [JIRA-3116] Persistent logistical functionalities</w:t>
      </w:r>
    </w:p>
    <w:p>
      <w:r>
        <w:t>- [JIRA-1094] Re-contextualized exuding policy</w:t>
      </w:r>
    </w:p>
    <w:p>
      <w:r>
        <w:t>- [JIRA-9920] Programmable 3rdgeneration architecture</w:t>
      </w:r>
    </w:p>
    <w:p>
      <w:r>
        <w:t>- [JIRA-8818] Synchronized zero administration encryption</w:t>
      </w:r>
    </w:p>
    <w:p>
      <w:r>
        <w:t>- [JIRA-5835] Persistent neutral open system</w:t>
      </w:r>
    </w:p>
    <w:p>
      <w:r>
        <w:t>Build-Hash: e9deaa4acbd8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