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v5.4.2</w:t>
      </w:r>
    </w:p>
    <w:p>
      <w:r>
        <w:t>==============================</w:t>
      </w:r>
    </w:p>
    <w:p>
      <w:r>
        <w:t>- [JIRA-8656] Inverse tertiary collaboration</w:t>
      </w:r>
    </w:p>
    <w:p>
      <w:r>
        <w:t>- [JIRA-1611] Digitized human-resource throughput</w:t>
      </w:r>
    </w:p>
    <w:p>
      <w:r>
        <w:t>- [JIRA-2791] Enterprise-wide coherent complexity</w:t>
      </w:r>
    </w:p>
    <w:p>
      <w:r>
        <w:t>- [JIRA-7299] Seamless needs-based Graphic Interface</w:t>
      </w:r>
    </w:p>
    <w:p>
      <w:r>
        <w:t>Build-Hash: c44ea66bf4c9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