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8AD" w:rsidRDefault="008E68AD" w:rsidP="00F36748">
      <w:pPr>
        <w:shd w:val="clear" w:color="auto" w:fill="FFFFFF"/>
        <w:spacing w:after="240" w:line="240" w:lineRule="auto"/>
        <w:rPr>
          <w:rFonts w:ascii="Arial" w:eastAsia="Times New Roman" w:hAnsi="Arial" w:cs="Arial"/>
          <w:color w:val="222222"/>
          <w:sz w:val="19"/>
          <w:szCs w:val="19"/>
          <w:u w:val="single"/>
          <w:lang w:eastAsia="en-IN"/>
        </w:rPr>
      </w:pPr>
      <w:r>
        <w:rPr>
          <w:rFonts w:ascii="Arial" w:eastAsia="Times New Roman" w:hAnsi="Arial" w:cs="Arial"/>
          <w:color w:val="222222"/>
          <w:sz w:val="19"/>
          <w:szCs w:val="19"/>
          <w:u w:val="single"/>
          <w:lang w:eastAsia="en-IN"/>
        </w:rPr>
        <w:t>Disposition effect in expiry strategy</w:t>
      </w:r>
    </w:p>
    <w:p w:rsidR="008E68AD" w:rsidRDefault="008E68AD" w:rsidP="00F36748">
      <w:pPr>
        <w:shd w:val="clear" w:color="auto" w:fill="FFFFFF"/>
        <w:spacing w:after="240" w:line="240" w:lineRule="auto"/>
        <w:rPr>
          <w:rFonts w:ascii="Arial" w:eastAsia="Times New Roman" w:hAnsi="Arial" w:cs="Arial"/>
          <w:color w:val="222222"/>
          <w:sz w:val="19"/>
          <w:szCs w:val="19"/>
          <w:u w:val="single"/>
          <w:lang w:eastAsia="en-IN"/>
        </w:rPr>
      </w:pPr>
    </w:p>
    <w:p w:rsidR="00F36748" w:rsidRPr="00F36748" w:rsidRDefault="00F36748" w:rsidP="00F36748">
      <w:pPr>
        <w:shd w:val="clear" w:color="auto" w:fill="FFFFFF"/>
        <w:spacing w:after="240" w:line="240" w:lineRule="auto"/>
        <w:rPr>
          <w:rFonts w:ascii="Arial" w:eastAsia="Times New Roman" w:hAnsi="Arial" w:cs="Arial"/>
          <w:color w:val="222222"/>
          <w:sz w:val="19"/>
          <w:szCs w:val="19"/>
          <w:lang w:eastAsia="en-IN"/>
        </w:rPr>
      </w:pPr>
      <w:r w:rsidRPr="00F36748">
        <w:rPr>
          <w:rFonts w:ascii="Arial" w:eastAsia="Times New Roman" w:hAnsi="Arial" w:cs="Arial"/>
          <w:color w:val="222222"/>
          <w:sz w:val="19"/>
          <w:szCs w:val="19"/>
          <w:u w:val="single"/>
          <w:lang w:eastAsia="en-IN"/>
        </w:rPr>
        <w:t>Name :  STBETA</w:t>
      </w:r>
      <w:r w:rsidRPr="00F36748">
        <w:rPr>
          <w:rFonts w:ascii="Arial" w:eastAsia="Times New Roman" w:hAnsi="Arial" w:cs="Arial"/>
          <w:color w:val="222222"/>
          <w:sz w:val="19"/>
          <w:szCs w:val="19"/>
          <w:u w:val="single"/>
          <w:lang w:eastAsia="en-IN"/>
        </w:rPr>
        <w:br/>
      </w:r>
      <w:r w:rsidRPr="00F36748">
        <w:rPr>
          <w:rFonts w:ascii="Arial" w:eastAsia="Times New Roman" w:hAnsi="Arial" w:cs="Arial"/>
          <w:color w:val="222222"/>
          <w:sz w:val="19"/>
          <w:szCs w:val="19"/>
          <w:lang w:eastAsia="en-IN"/>
        </w:rPr>
        <w:br/>
        <w:t>Description : </w:t>
      </w:r>
      <w:r w:rsidRPr="00F36748">
        <w:rPr>
          <w:rFonts w:ascii="Calibri" w:eastAsia="Times New Roman" w:hAnsi="Calibri" w:cs="Arial"/>
          <w:color w:val="222222"/>
          <w:lang w:eastAsia="en-IN"/>
        </w:rPr>
        <w:t>This strategy exploits the beta anomaly – low beta stocks generate higher returns.  It favours companies that are stable, have a high dividend yield and have low statistical beta</w:t>
      </w:r>
    </w:p>
    <w:p w:rsidR="00F36748" w:rsidRDefault="00F36748" w:rsidP="00F36748">
      <w:pPr>
        <w:shd w:val="clear" w:color="auto" w:fill="FFFFFF"/>
        <w:spacing w:after="240" w:line="240" w:lineRule="auto"/>
        <w:rPr>
          <w:rFonts w:ascii="Arial" w:eastAsia="Times New Roman" w:hAnsi="Arial" w:cs="Arial"/>
          <w:color w:val="222222"/>
          <w:sz w:val="19"/>
          <w:szCs w:val="19"/>
          <w:lang w:eastAsia="en-IN"/>
        </w:rPr>
      </w:pPr>
      <w:r w:rsidRPr="00F36748">
        <w:rPr>
          <w:rFonts w:ascii="Arial" w:eastAsia="Times New Roman" w:hAnsi="Arial" w:cs="Arial"/>
          <w:color w:val="222222"/>
          <w:sz w:val="19"/>
          <w:szCs w:val="19"/>
          <w:lang w:eastAsia="en-IN"/>
        </w:rPr>
        <w:t>Detail  : </w:t>
      </w:r>
      <w:r>
        <w:rPr>
          <w:rFonts w:ascii="Arial" w:eastAsia="Times New Roman" w:hAnsi="Arial" w:cs="Arial"/>
          <w:color w:val="222222"/>
          <w:sz w:val="19"/>
          <w:szCs w:val="19"/>
          <w:lang w:eastAsia="en-IN"/>
        </w:rPr>
        <w:t>We go long on names which have a high divyield and low beta. We go short names which low beta within non dividend paying names</w:t>
      </w:r>
      <w:r>
        <w:rPr>
          <w:rFonts w:ascii="Arial" w:eastAsia="Times New Roman" w:hAnsi="Arial" w:cs="Arial"/>
          <w:color w:val="222222"/>
          <w:sz w:val="19"/>
          <w:szCs w:val="19"/>
          <w:lang w:eastAsia="en-IN"/>
        </w:rPr>
        <w:br/>
        <w:t xml:space="preserve">Additional screen to drop high sdret names from the long side – probably to reduce vol spread. </w:t>
      </w:r>
      <w:r>
        <w:rPr>
          <w:rFonts w:ascii="Arial" w:eastAsia="Times New Roman" w:hAnsi="Arial" w:cs="Arial"/>
          <w:color w:val="222222"/>
          <w:sz w:val="19"/>
          <w:szCs w:val="19"/>
          <w:lang w:eastAsia="en-IN"/>
        </w:rPr>
        <w:br/>
        <w:t>Screen to drop sectors on which it is not expected to work e.g. pharma</w:t>
      </w:r>
      <w:r>
        <w:rPr>
          <w:rFonts w:ascii="Arial" w:eastAsia="Times New Roman" w:hAnsi="Arial" w:cs="Arial"/>
          <w:color w:val="222222"/>
          <w:sz w:val="19"/>
          <w:szCs w:val="19"/>
          <w:lang w:eastAsia="en-IN"/>
        </w:rPr>
        <w:br/>
      </w:r>
      <w:r>
        <w:rPr>
          <w:rFonts w:ascii="Arial" w:eastAsia="Times New Roman" w:hAnsi="Arial" w:cs="Arial"/>
          <w:color w:val="222222"/>
          <w:sz w:val="19"/>
          <w:szCs w:val="19"/>
          <w:lang w:eastAsia="en-IN"/>
        </w:rPr>
        <w:br/>
        <w:t xml:space="preserve">(older version : Go long on names with low beta and high dividend yield </w:t>
      </w:r>
      <w:r w:rsidR="003E575B">
        <w:rPr>
          <w:rFonts w:ascii="Arial" w:eastAsia="Times New Roman" w:hAnsi="Arial" w:cs="Arial"/>
          <w:color w:val="222222"/>
          <w:sz w:val="19"/>
          <w:szCs w:val="19"/>
          <w:lang w:eastAsia="en-IN"/>
        </w:rPr>
        <w:t>and short on names with high beta and low /no dividend yield</w:t>
      </w:r>
      <w:r w:rsidR="003D0030">
        <w:rPr>
          <w:rFonts w:ascii="Arial" w:eastAsia="Times New Roman" w:hAnsi="Arial" w:cs="Arial"/>
          <w:color w:val="222222"/>
          <w:sz w:val="19"/>
          <w:szCs w:val="19"/>
          <w:lang w:eastAsia="en-IN"/>
        </w:rPr>
        <w:t>. Additional screen to drop high sdret names from both sides.</w:t>
      </w:r>
    </w:p>
    <w:p w:rsidR="003E575B" w:rsidRPr="00F36748" w:rsidRDefault="003E575B" w:rsidP="00F36748">
      <w:pPr>
        <w:shd w:val="clear" w:color="auto" w:fill="FFFFFF"/>
        <w:spacing w:after="240" w:line="240" w:lineRule="auto"/>
        <w:rPr>
          <w:rFonts w:ascii="Arial" w:eastAsia="Times New Roman" w:hAnsi="Arial" w:cs="Arial"/>
          <w:color w:val="222222"/>
          <w:sz w:val="19"/>
          <w:szCs w:val="19"/>
          <w:lang w:eastAsia="en-IN"/>
        </w:rPr>
      </w:pP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Arial" w:eastAsia="Times New Roman" w:hAnsi="Arial" w:cs="Arial"/>
          <w:color w:val="222222"/>
          <w:sz w:val="19"/>
          <w:szCs w:val="19"/>
          <w:u w:val="single"/>
          <w:lang w:eastAsia="en-IN"/>
        </w:rPr>
        <w:t>Name : RECEIVABLE</w:t>
      </w:r>
      <w:r w:rsidRPr="00F36748">
        <w:rPr>
          <w:rFonts w:ascii="Arial" w:eastAsia="Times New Roman" w:hAnsi="Arial" w:cs="Arial"/>
          <w:color w:val="222222"/>
          <w:sz w:val="19"/>
          <w:szCs w:val="19"/>
          <w:u w:val="single"/>
          <w:lang w:eastAsia="en-IN"/>
        </w:rPr>
        <w:br/>
      </w:r>
      <w:r w:rsidRPr="00F36748">
        <w:rPr>
          <w:rFonts w:ascii="Arial" w:eastAsia="Times New Roman" w:hAnsi="Arial" w:cs="Arial"/>
          <w:color w:val="222222"/>
          <w:sz w:val="19"/>
          <w:szCs w:val="19"/>
          <w:lang w:eastAsia="en-IN"/>
        </w:rPr>
        <w:t>Description : </w:t>
      </w:r>
      <w:r w:rsidRPr="00F36748">
        <w:rPr>
          <w:rFonts w:ascii="Calibri" w:eastAsia="Times New Roman" w:hAnsi="Calibri" w:cs="Arial"/>
          <w:color w:val="222222"/>
          <w:lang w:eastAsia="en-IN"/>
        </w:rPr>
        <w:t>The strategy uses balance sheet data to pick companies that are potentially inflating their revenue number by stuffing the supply chain by monitoring the company’s receivables</w:t>
      </w: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Calibri" w:eastAsia="Times New Roman" w:hAnsi="Calibri" w:cs="Arial"/>
          <w:color w:val="222222"/>
          <w:lang w:eastAsia="en-IN"/>
        </w:rPr>
        <w:br/>
      </w:r>
      <w:r w:rsidRPr="00F36748">
        <w:rPr>
          <w:rFonts w:ascii="Arial" w:eastAsia="Times New Roman" w:hAnsi="Arial" w:cs="Arial"/>
          <w:color w:val="222222"/>
          <w:sz w:val="19"/>
          <w:szCs w:val="19"/>
          <w:lang w:eastAsia="en-IN"/>
        </w:rPr>
        <w:t>Detail  :</w:t>
      </w:r>
      <w:r w:rsidR="003D0030">
        <w:rPr>
          <w:rFonts w:ascii="Arial" w:eastAsia="Times New Roman" w:hAnsi="Arial" w:cs="Arial"/>
          <w:color w:val="222222"/>
          <w:sz w:val="19"/>
          <w:szCs w:val="19"/>
          <w:lang w:eastAsia="en-IN"/>
        </w:rPr>
        <w:t xml:space="preserve"> go short if change in accounts receivable to sales id growing over the last year. </w:t>
      </w:r>
      <w:r w:rsidR="003D0030">
        <w:rPr>
          <w:rFonts w:ascii="Arial" w:eastAsia="Times New Roman" w:hAnsi="Arial" w:cs="Arial"/>
          <w:color w:val="222222"/>
          <w:sz w:val="19"/>
          <w:szCs w:val="19"/>
          <w:lang w:eastAsia="en-IN"/>
        </w:rPr>
        <w:br/>
        <w:t>Additional screen to drop names with very high beta  - probably to manage beta spread at product level</w:t>
      </w: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p>
    <w:p w:rsidR="003E575B" w:rsidRDefault="003E575B" w:rsidP="00F36748">
      <w:pPr>
        <w:shd w:val="clear" w:color="auto" w:fill="FFFFFF"/>
        <w:spacing w:after="0" w:line="240" w:lineRule="auto"/>
        <w:rPr>
          <w:rFonts w:ascii="Arial" w:eastAsia="Times New Roman" w:hAnsi="Arial" w:cs="Arial"/>
          <w:color w:val="222222"/>
          <w:sz w:val="19"/>
          <w:szCs w:val="19"/>
          <w:lang w:eastAsia="en-IN"/>
        </w:rPr>
      </w:pP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Arial" w:eastAsia="Times New Roman" w:hAnsi="Arial" w:cs="Arial"/>
          <w:color w:val="222222"/>
          <w:sz w:val="19"/>
          <w:szCs w:val="19"/>
          <w:u w:val="single"/>
          <w:lang w:eastAsia="en-IN"/>
        </w:rPr>
        <w:t xml:space="preserve">Name : BUYBACK </w:t>
      </w:r>
      <w:r w:rsidRPr="00F36748">
        <w:rPr>
          <w:rFonts w:ascii="Arial" w:eastAsia="Times New Roman" w:hAnsi="Arial" w:cs="Arial"/>
          <w:color w:val="222222"/>
          <w:sz w:val="19"/>
          <w:szCs w:val="19"/>
          <w:u w:val="single"/>
          <w:lang w:eastAsia="en-IN"/>
        </w:rPr>
        <w:br/>
      </w:r>
      <w:r w:rsidRPr="00F36748">
        <w:rPr>
          <w:rFonts w:ascii="Arial" w:eastAsia="Times New Roman" w:hAnsi="Arial" w:cs="Arial"/>
          <w:color w:val="222222"/>
          <w:sz w:val="19"/>
          <w:szCs w:val="19"/>
          <w:lang w:eastAsia="en-IN"/>
        </w:rPr>
        <w:t>Description : </w:t>
      </w:r>
      <w:r w:rsidRPr="00F36748">
        <w:rPr>
          <w:rFonts w:ascii="Calibri" w:eastAsia="Times New Roman" w:hAnsi="Calibri" w:cs="Arial"/>
          <w:color w:val="222222"/>
          <w:lang w:eastAsia="en-IN"/>
        </w:rPr>
        <w:t>This strategy exploits information asymmetry between insiders and outsiders by going long on firms which insiders are willing to pay a premium to hold and retail investors are not </w:t>
      </w:r>
    </w:p>
    <w:p w:rsid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Calibri" w:eastAsia="Times New Roman" w:hAnsi="Calibri" w:cs="Arial"/>
          <w:color w:val="222222"/>
          <w:lang w:eastAsia="en-IN"/>
        </w:rPr>
        <w:br/>
      </w:r>
      <w:r w:rsidRPr="00F36748">
        <w:rPr>
          <w:rFonts w:ascii="Arial" w:eastAsia="Times New Roman" w:hAnsi="Arial" w:cs="Arial"/>
          <w:color w:val="222222"/>
          <w:sz w:val="19"/>
          <w:szCs w:val="19"/>
          <w:lang w:eastAsia="en-IN"/>
        </w:rPr>
        <w:t>Detail  :</w:t>
      </w:r>
      <w:r w:rsidR="003D0030">
        <w:rPr>
          <w:rFonts w:ascii="Arial" w:eastAsia="Times New Roman" w:hAnsi="Arial" w:cs="Arial"/>
          <w:color w:val="222222"/>
          <w:sz w:val="19"/>
          <w:szCs w:val="19"/>
          <w:lang w:eastAsia="en-IN"/>
        </w:rPr>
        <w:t xml:space="preserve">go long on names with high book to market within names which have a high payout yield. </w:t>
      </w:r>
    </w:p>
    <w:p w:rsidR="003D0030" w:rsidRPr="00F36748" w:rsidRDefault="003D0030" w:rsidP="00F36748">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Go short on names with high book to market within names with a low pay</w:t>
      </w:r>
      <w:r w:rsidR="006E14C1">
        <w:rPr>
          <w:rFonts w:ascii="Arial" w:eastAsia="Times New Roman" w:hAnsi="Arial" w:cs="Arial"/>
          <w:color w:val="222222"/>
          <w:sz w:val="19"/>
          <w:szCs w:val="19"/>
          <w:lang w:eastAsia="en-IN"/>
        </w:rPr>
        <w:t>out yield</w:t>
      </w:r>
    </w:p>
    <w:p w:rsidR="00F36748" w:rsidRDefault="00F36748" w:rsidP="00F36748">
      <w:pPr>
        <w:shd w:val="clear" w:color="auto" w:fill="FFFFFF"/>
        <w:spacing w:after="0" w:line="240" w:lineRule="auto"/>
        <w:rPr>
          <w:rFonts w:ascii="Arial" w:eastAsia="Times New Roman" w:hAnsi="Arial" w:cs="Arial"/>
          <w:color w:val="222222"/>
          <w:sz w:val="19"/>
          <w:szCs w:val="19"/>
          <w:lang w:eastAsia="en-IN"/>
        </w:rPr>
      </w:pPr>
    </w:p>
    <w:p w:rsidR="003E575B" w:rsidRDefault="003E575B" w:rsidP="00F36748">
      <w:pPr>
        <w:shd w:val="clear" w:color="auto" w:fill="FFFFFF"/>
        <w:spacing w:after="0" w:line="240" w:lineRule="auto"/>
        <w:rPr>
          <w:rFonts w:ascii="Arial" w:eastAsia="Times New Roman" w:hAnsi="Arial" w:cs="Arial"/>
          <w:color w:val="222222"/>
          <w:sz w:val="19"/>
          <w:szCs w:val="19"/>
          <w:u w:val="single"/>
          <w:lang w:eastAsia="en-IN"/>
        </w:rPr>
      </w:pPr>
    </w:p>
    <w:p w:rsidR="00F36748" w:rsidRPr="00F36748" w:rsidRDefault="00F36748" w:rsidP="00F36748">
      <w:pPr>
        <w:shd w:val="clear" w:color="auto" w:fill="FFFFFF"/>
        <w:spacing w:after="0" w:line="240" w:lineRule="auto"/>
        <w:rPr>
          <w:rFonts w:ascii="Arial" w:eastAsia="Times New Roman" w:hAnsi="Arial" w:cs="Arial"/>
          <w:color w:val="222222"/>
          <w:sz w:val="19"/>
          <w:szCs w:val="19"/>
          <w:u w:val="single"/>
          <w:lang w:eastAsia="en-IN"/>
        </w:rPr>
      </w:pPr>
      <w:r w:rsidRPr="00F36748">
        <w:rPr>
          <w:rFonts w:ascii="Arial" w:eastAsia="Times New Roman" w:hAnsi="Arial" w:cs="Arial"/>
          <w:color w:val="222222"/>
          <w:sz w:val="19"/>
          <w:szCs w:val="19"/>
          <w:u w:val="single"/>
          <w:lang w:eastAsia="en-IN"/>
        </w:rPr>
        <w:t>Name :  OPERLEV</w:t>
      </w:r>
      <w:r w:rsidRPr="00F36748">
        <w:rPr>
          <w:rFonts w:ascii="Arial" w:eastAsia="Times New Roman" w:hAnsi="Arial" w:cs="Arial"/>
          <w:color w:val="222222"/>
          <w:sz w:val="19"/>
          <w:szCs w:val="19"/>
          <w:u w:val="single"/>
          <w:lang w:eastAsia="en-IN"/>
        </w:rPr>
        <w:br/>
      </w: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Calibri" w:eastAsia="Times New Roman" w:hAnsi="Calibri" w:cs="Arial"/>
          <w:color w:val="222222"/>
          <w:lang w:eastAsia="en-IN"/>
        </w:rPr>
        <w:t>This contrarian idea goes long on companies with high operating and market leverage, but who have a high distance to default and vice versa</w:t>
      </w: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Calibri" w:eastAsia="Times New Roman" w:hAnsi="Calibri" w:cs="Arial"/>
          <w:color w:val="222222"/>
          <w:lang w:eastAsia="en-IN"/>
        </w:rPr>
        <w:br/>
      </w:r>
      <w:r w:rsidRPr="00F36748">
        <w:rPr>
          <w:rFonts w:ascii="Arial" w:eastAsia="Times New Roman" w:hAnsi="Arial" w:cs="Arial"/>
          <w:color w:val="222222"/>
          <w:sz w:val="19"/>
          <w:szCs w:val="19"/>
          <w:lang w:eastAsia="en-IN"/>
        </w:rPr>
        <w:t>Detail  :</w:t>
      </w:r>
      <w:r w:rsidR="003C7493">
        <w:rPr>
          <w:rFonts w:ascii="Arial" w:eastAsia="Times New Roman" w:hAnsi="Arial" w:cs="Arial"/>
          <w:color w:val="222222"/>
          <w:sz w:val="19"/>
          <w:szCs w:val="19"/>
          <w:lang w:eastAsia="en-IN"/>
        </w:rPr>
        <w:t xml:space="preserve"> Go long on names which have high market leverage or operating leverage but also high distance to default. Go short on names which have low market leverage and low operating leverage but also have low distance to default</w:t>
      </w: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Arial" w:eastAsia="Times New Roman" w:hAnsi="Arial" w:cs="Arial"/>
          <w:b/>
          <w:bCs/>
          <w:color w:val="222222"/>
          <w:sz w:val="19"/>
          <w:szCs w:val="19"/>
          <w:lang w:eastAsia="en-IN"/>
        </w:rPr>
        <w:t>Behavioral - </w:t>
      </w: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Arial" w:eastAsia="Times New Roman" w:hAnsi="Arial" w:cs="Arial"/>
          <w:color w:val="222222"/>
          <w:sz w:val="19"/>
          <w:szCs w:val="19"/>
          <w:u w:val="single"/>
          <w:lang w:eastAsia="en-IN"/>
        </w:rPr>
        <w:t>Name : VOLATILITY</w:t>
      </w:r>
      <w:r w:rsidRPr="00F36748">
        <w:rPr>
          <w:rFonts w:ascii="Arial" w:eastAsia="Times New Roman" w:hAnsi="Arial" w:cs="Arial"/>
          <w:color w:val="222222"/>
          <w:sz w:val="19"/>
          <w:szCs w:val="19"/>
          <w:u w:val="single"/>
          <w:lang w:eastAsia="en-IN"/>
        </w:rPr>
        <w:br/>
      </w:r>
      <w:r w:rsidRPr="00F36748">
        <w:rPr>
          <w:rFonts w:ascii="Arial" w:eastAsia="Times New Roman" w:hAnsi="Arial" w:cs="Arial"/>
          <w:color w:val="222222"/>
          <w:sz w:val="19"/>
          <w:szCs w:val="19"/>
          <w:lang w:eastAsia="en-IN"/>
        </w:rPr>
        <w:t>Description : </w:t>
      </w:r>
      <w:r w:rsidRPr="00F36748">
        <w:rPr>
          <w:rFonts w:ascii="Calibri" w:eastAsia="Times New Roman" w:hAnsi="Calibri" w:cs="Arial"/>
          <w:color w:val="222222"/>
          <w:lang w:eastAsia="en-IN"/>
        </w:rPr>
        <w:t>This strategy exploits the anomaly due to the interaction between price volatility of companies and recent momentum </w:t>
      </w:r>
      <w:r w:rsidRPr="00F36748">
        <w:rPr>
          <w:rFonts w:ascii="Arial" w:eastAsia="Times New Roman" w:hAnsi="Arial" w:cs="Arial"/>
          <w:color w:val="222222"/>
          <w:sz w:val="19"/>
          <w:szCs w:val="19"/>
          <w:lang w:eastAsia="en-IN"/>
        </w:rPr>
        <w:br/>
        <w:t>Detail  :</w:t>
      </w:r>
      <w:r w:rsidR="007D2156">
        <w:rPr>
          <w:rFonts w:ascii="Arial" w:eastAsia="Times New Roman" w:hAnsi="Arial" w:cs="Arial"/>
          <w:color w:val="222222"/>
          <w:sz w:val="19"/>
          <w:szCs w:val="19"/>
          <w:lang w:eastAsia="en-IN"/>
        </w:rPr>
        <w:t xml:space="preserve"> Within high momentum names, go long on names with low volatility and short names with high volatility. (on implementation the short side did not have much value, but shorting high vol and low momentum names added value</w:t>
      </w: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p>
    <w:p w:rsidR="003E575B" w:rsidRDefault="003E575B" w:rsidP="00F36748">
      <w:pPr>
        <w:shd w:val="clear" w:color="auto" w:fill="FFFFFF"/>
        <w:spacing w:after="0" w:line="240" w:lineRule="auto"/>
        <w:rPr>
          <w:rFonts w:ascii="Arial" w:eastAsia="Times New Roman" w:hAnsi="Arial" w:cs="Arial"/>
          <w:color w:val="222222"/>
          <w:sz w:val="19"/>
          <w:szCs w:val="19"/>
          <w:u w:val="single"/>
          <w:lang w:eastAsia="en-IN"/>
        </w:rPr>
      </w:pP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r w:rsidRPr="00F36748">
        <w:rPr>
          <w:rFonts w:ascii="Arial" w:eastAsia="Times New Roman" w:hAnsi="Arial" w:cs="Arial"/>
          <w:color w:val="222222"/>
          <w:sz w:val="19"/>
          <w:szCs w:val="19"/>
          <w:u w:val="single"/>
          <w:lang w:eastAsia="en-IN"/>
        </w:rPr>
        <w:t>Name : VOLTURN</w:t>
      </w:r>
      <w:r w:rsidRPr="00F36748">
        <w:rPr>
          <w:rFonts w:ascii="Arial" w:eastAsia="Times New Roman" w:hAnsi="Arial" w:cs="Arial"/>
          <w:color w:val="222222"/>
          <w:sz w:val="19"/>
          <w:szCs w:val="19"/>
          <w:lang w:eastAsia="en-IN"/>
        </w:rPr>
        <w:br/>
        <w:t>Description : </w:t>
      </w:r>
      <w:r w:rsidRPr="00F36748">
        <w:rPr>
          <w:rFonts w:ascii="Calibri" w:eastAsia="Times New Roman" w:hAnsi="Calibri" w:cs="Arial"/>
          <w:color w:val="222222"/>
          <w:lang w:eastAsia="en-IN"/>
        </w:rPr>
        <w:t xml:space="preserve">This strategy generates returns by providing liquidity to stocks whose liquidity premium </w:t>
      </w:r>
      <w:r w:rsidRPr="00F36748">
        <w:rPr>
          <w:rFonts w:ascii="Calibri" w:eastAsia="Times New Roman" w:hAnsi="Calibri" w:cs="Arial"/>
          <w:color w:val="222222"/>
          <w:lang w:eastAsia="en-IN"/>
        </w:rPr>
        <w:lastRenderedPageBreak/>
        <w:t>is increasing</w:t>
      </w:r>
      <w:r w:rsidRPr="00F36748">
        <w:rPr>
          <w:rFonts w:ascii="Arial" w:eastAsia="Times New Roman" w:hAnsi="Arial" w:cs="Arial"/>
          <w:color w:val="222222"/>
          <w:sz w:val="19"/>
          <w:szCs w:val="19"/>
          <w:lang w:eastAsia="en-IN"/>
        </w:rPr>
        <w:br/>
        <w:t>Detail  :</w:t>
      </w:r>
      <w:r w:rsidR="007D2156">
        <w:rPr>
          <w:rFonts w:ascii="Arial" w:eastAsia="Times New Roman" w:hAnsi="Arial" w:cs="Arial"/>
          <w:color w:val="222222"/>
          <w:sz w:val="19"/>
          <w:szCs w:val="19"/>
          <w:lang w:eastAsia="en-IN"/>
        </w:rPr>
        <w:t xml:space="preserve">Liquidity provision idea where you long names with </w:t>
      </w:r>
      <w:r w:rsidR="00182EFD">
        <w:rPr>
          <w:rFonts w:ascii="Arial" w:eastAsia="Times New Roman" w:hAnsi="Arial" w:cs="Arial"/>
          <w:color w:val="222222"/>
          <w:sz w:val="19"/>
          <w:szCs w:val="19"/>
          <w:lang w:eastAsia="en-IN"/>
        </w:rPr>
        <w:t>low</w:t>
      </w:r>
      <w:bookmarkStart w:id="0" w:name="_GoBack"/>
      <w:bookmarkEnd w:id="0"/>
      <w:r w:rsidR="007D2156">
        <w:rPr>
          <w:rFonts w:ascii="Arial" w:eastAsia="Times New Roman" w:hAnsi="Arial" w:cs="Arial"/>
          <w:color w:val="222222"/>
          <w:sz w:val="19"/>
          <w:szCs w:val="19"/>
          <w:lang w:eastAsia="en-IN"/>
        </w:rPr>
        <w:t xml:space="preserve"> liquidity and short names with high liquidity </w:t>
      </w:r>
    </w:p>
    <w:p w:rsidR="00F36748" w:rsidRPr="00F36748" w:rsidRDefault="00F36748" w:rsidP="00F36748">
      <w:pPr>
        <w:shd w:val="clear" w:color="auto" w:fill="FFFFFF"/>
        <w:spacing w:after="0" w:line="240" w:lineRule="auto"/>
        <w:rPr>
          <w:rFonts w:ascii="Arial" w:eastAsia="Times New Roman" w:hAnsi="Arial" w:cs="Arial"/>
          <w:color w:val="222222"/>
          <w:sz w:val="19"/>
          <w:szCs w:val="19"/>
          <w:lang w:eastAsia="en-IN"/>
        </w:rPr>
      </w:pPr>
    </w:p>
    <w:p w:rsidR="003E575B" w:rsidRDefault="003E575B" w:rsidP="00F36748">
      <w:pPr>
        <w:shd w:val="clear" w:color="auto" w:fill="FFFFFF"/>
        <w:spacing w:after="0" w:line="240" w:lineRule="auto"/>
        <w:rPr>
          <w:rFonts w:ascii="Arial" w:eastAsia="Times New Roman" w:hAnsi="Arial" w:cs="Arial"/>
          <w:color w:val="222222"/>
          <w:sz w:val="19"/>
          <w:szCs w:val="19"/>
          <w:u w:val="single"/>
          <w:lang w:eastAsia="en-IN"/>
        </w:rPr>
      </w:pPr>
    </w:p>
    <w:p w:rsidR="00AF5D40" w:rsidRDefault="00AF5D40"/>
    <w:sectPr w:rsidR="00AF5D40" w:rsidSect="00AF5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F36748"/>
    <w:rsid w:val="00182EFD"/>
    <w:rsid w:val="003C7493"/>
    <w:rsid w:val="003D0030"/>
    <w:rsid w:val="003E575B"/>
    <w:rsid w:val="006E14C1"/>
    <w:rsid w:val="007D2156"/>
    <w:rsid w:val="008E68AD"/>
    <w:rsid w:val="00AF5D40"/>
    <w:rsid w:val="00DA0247"/>
    <w:rsid w:val="00F3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ABD3"/>
  <w15:docId w15:val="{2403AA44-98FD-4272-8E1F-2E389431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411553">
      <w:bodyDiv w:val="1"/>
      <w:marLeft w:val="0"/>
      <w:marRight w:val="0"/>
      <w:marTop w:val="0"/>
      <w:marBottom w:val="0"/>
      <w:divBdr>
        <w:top w:val="none" w:sz="0" w:space="0" w:color="auto"/>
        <w:left w:val="none" w:sz="0" w:space="0" w:color="auto"/>
        <w:bottom w:val="none" w:sz="0" w:space="0" w:color="auto"/>
        <w:right w:val="none" w:sz="0" w:space="0" w:color="auto"/>
      </w:divBdr>
      <w:divsChild>
        <w:div w:id="852960638">
          <w:marLeft w:val="0"/>
          <w:marRight w:val="0"/>
          <w:marTop w:val="0"/>
          <w:marBottom w:val="0"/>
          <w:divBdr>
            <w:top w:val="none" w:sz="0" w:space="0" w:color="auto"/>
            <w:left w:val="none" w:sz="0" w:space="0" w:color="auto"/>
            <w:bottom w:val="none" w:sz="0" w:space="0" w:color="auto"/>
            <w:right w:val="none" w:sz="0" w:space="0" w:color="auto"/>
          </w:divBdr>
        </w:div>
        <w:div w:id="872226641">
          <w:marLeft w:val="0"/>
          <w:marRight w:val="0"/>
          <w:marTop w:val="0"/>
          <w:marBottom w:val="0"/>
          <w:divBdr>
            <w:top w:val="none" w:sz="0" w:space="0" w:color="auto"/>
            <w:left w:val="none" w:sz="0" w:space="0" w:color="auto"/>
            <w:bottom w:val="none" w:sz="0" w:space="0" w:color="auto"/>
            <w:right w:val="none" w:sz="0" w:space="0" w:color="auto"/>
          </w:divBdr>
          <w:divsChild>
            <w:div w:id="1469779085">
              <w:marLeft w:val="0"/>
              <w:marRight w:val="0"/>
              <w:marTop w:val="0"/>
              <w:marBottom w:val="0"/>
              <w:divBdr>
                <w:top w:val="none" w:sz="0" w:space="0" w:color="auto"/>
                <w:left w:val="none" w:sz="0" w:space="0" w:color="auto"/>
                <w:bottom w:val="none" w:sz="0" w:space="0" w:color="auto"/>
                <w:right w:val="none" w:sz="0" w:space="0" w:color="auto"/>
              </w:divBdr>
            </w:div>
            <w:div w:id="2027554127">
              <w:marLeft w:val="0"/>
              <w:marRight w:val="0"/>
              <w:marTop w:val="0"/>
              <w:marBottom w:val="0"/>
              <w:divBdr>
                <w:top w:val="none" w:sz="0" w:space="0" w:color="auto"/>
                <w:left w:val="none" w:sz="0" w:space="0" w:color="auto"/>
                <w:bottom w:val="none" w:sz="0" w:space="0" w:color="auto"/>
                <w:right w:val="none" w:sz="0" w:space="0" w:color="auto"/>
              </w:divBdr>
            </w:div>
            <w:div w:id="1046952673">
              <w:marLeft w:val="0"/>
              <w:marRight w:val="0"/>
              <w:marTop w:val="0"/>
              <w:marBottom w:val="0"/>
              <w:divBdr>
                <w:top w:val="none" w:sz="0" w:space="0" w:color="auto"/>
                <w:left w:val="none" w:sz="0" w:space="0" w:color="auto"/>
                <w:bottom w:val="none" w:sz="0" w:space="0" w:color="auto"/>
                <w:right w:val="none" w:sz="0" w:space="0" w:color="auto"/>
              </w:divBdr>
            </w:div>
            <w:div w:id="1361198292">
              <w:marLeft w:val="0"/>
              <w:marRight w:val="0"/>
              <w:marTop w:val="0"/>
              <w:marBottom w:val="0"/>
              <w:divBdr>
                <w:top w:val="none" w:sz="0" w:space="0" w:color="auto"/>
                <w:left w:val="none" w:sz="0" w:space="0" w:color="auto"/>
                <w:bottom w:val="none" w:sz="0" w:space="0" w:color="auto"/>
                <w:right w:val="none" w:sz="0" w:space="0" w:color="auto"/>
              </w:divBdr>
            </w:div>
            <w:div w:id="766579007">
              <w:marLeft w:val="0"/>
              <w:marRight w:val="0"/>
              <w:marTop w:val="0"/>
              <w:marBottom w:val="0"/>
              <w:divBdr>
                <w:top w:val="none" w:sz="0" w:space="0" w:color="auto"/>
                <w:left w:val="none" w:sz="0" w:space="0" w:color="auto"/>
                <w:bottom w:val="none" w:sz="0" w:space="0" w:color="auto"/>
                <w:right w:val="none" w:sz="0" w:space="0" w:color="auto"/>
              </w:divBdr>
            </w:div>
            <w:div w:id="838617105">
              <w:marLeft w:val="0"/>
              <w:marRight w:val="0"/>
              <w:marTop w:val="0"/>
              <w:marBottom w:val="0"/>
              <w:divBdr>
                <w:top w:val="none" w:sz="0" w:space="0" w:color="auto"/>
                <w:left w:val="none" w:sz="0" w:space="0" w:color="auto"/>
                <w:bottom w:val="none" w:sz="0" w:space="0" w:color="auto"/>
                <w:right w:val="none" w:sz="0" w:space="0" w:color="auto"/>
              </w:divBdr>
            </w:div>
            <w:div w:id="1074160262">
              <w:marLeft w:val="0"/>
              <w:marRight w:val="0"/>
              <w:marTop w:val="0"/>
              <w:marBottom w:val="0"/>
              <w:divBdr>
                <w:top w:val="none" w:sz="0" w:space="0" w:color="auto"/>
                <w:left w:val="none" w:sz="0" w:space="0" w:color="auto"/>
                <w:bottom w:val="none" w:sz="0" w:space="0" w:color="auto"/>
                <w:right w:val="none" w:sz="0" w:space="0" w:color="auto"/>
              </w:divBdr>
            </w:div>
            <w:div w:id="1519276279">
              <w:marLeft w:val="0"/>
              <w:marRight w:val="0"/>
              <w:marTop w:val="0"/>
              <w:marBottom w:val="0"/>
              <w:divBdr>
                <w:top w:val="none" w:sz="0" w:space="0" w:color="auto"/>
                <w:left w:val="none" w:sz="0" w:space="0" w:color="auto"/>
                <w:bottom w:val="none" w:sz="0" w:space="0" w:color="auto"/>
                <w:right w:val="none" w:sz="0" w:space="0" w:color="auto"/>
              </w:divBdr>
            </w:div>
            <w:div w:id="1130316613">
              <w:marLeft w:val="0"/>
              <w:marRight w:val="0"/>
              <w:marTop w:val="0"/>
              <w:marBottom w:val="0"/>
              <w:divBdr>
                <w:top w:val="none" w:sz="0" w:space="0" w:color="auto"/>
                <w:left w:val="none" w:sz="0" w:space="0" w:color="auto"/>
                <w:bottom w:val="none" w:sz="0" w:space="0" w:color="auto"/>
                <w:right w:val="none" w:sz="0" w:space="0" w:color="auto"/>
              </w:divBdr>
            </w:div>
            <w:div w:id="1361711521">
              <w:marLeft w:val="0"/>
              <w:marRight w:val="0"/>
              <w:marTop w:val="0"/>
              <w:marBottom w:val="0"/>
              <w:divBdr>
                <w:top w:val="none" w:sz="0" w:space="0" w:color="auto"/>
                <w:left w:val="none" w:sz="0" w:space="0" w:color="auto"/>
                <w:bottom w:val="none" w:sz="0" w:space="0" w:color="auto"/>
                <w:right w:val="none" w:sz="0" w:space="0" w:color="auto"/>
              </w:divBdr>
            </w:div>
            <w:div w:id="1276789349">
              <w:marLeft w:val="0"/>
              <w:marRight w:val="0"/>
              <w:marTop w:val="0"/>
              <w:marBottom w:val="0"/>
              <w:divBdr>
                <w:top w:val="none" w:sz="0" w:space="0" w:color="auto"/>
                <w:left w:val="none" w:sz="0" w:space="0" w:color="auto"/>
                <w:bottom w:val="none" w:sz="0" w:space="0" w:color="auto"/>
                <w:right w:val="none" w:sz="0" w:space="0" w:color="auto"/>
              </w:divBdr>
            </w:div>
            <w:div w:id="873226346">
              <w:marLeft w:val="0"/>
              <w:marRight w:val="0"/>
              <w:marTop w:val="0"/>
              <w:marBottom w:val="0"/>
              <w:divBdr>
                <w:top w:val="none" w:sz="0" w:space="0" w:color="auto"/>
                <w:left w:val="none" w:sz="0" w:space="0" w:color="auto"/>
                <w:bottom w:val="none" w:sz="0" w:space="0" w:color="auto"/>
                <w:right w:val="none" w:sz="0" w:space="0" w:color="auto"/>
              </w:divBdr>
            </w:div>
            <w:div w:id="1543516785">
              <w:marLeft w:val="0"/>
              <w:marRight w:val="0"/>
              <w:marTop w:val="0"/>
              <w:marBottom w:val="0"/>
              <w:divBdr>
                <w:top w:val="none" w:sz="0" w:space="0" w:color="auto"/>
                <w:left w:val="none" w:sz="0" w:space="0" w:color="auto"/>
                <w:bottom w:val="none" w:sz="0" w:space="0" w:color="auto"/>
                <w:right w:val="none" w:sz="0" w:space="0" w:color="auto"/>
              </w:divBdr>
            </w:div>
            <w:div w:id="605621968">
              <w:marLeft w:val="0"/>
              <w:marRight w:val="0"/>
              <w:marTop w:val="0"/>
              <w:marBottom w:val="0"/>
              <w:divBdr>
                <w:top w:val="none" w:sz="0" w:space="0" w:color="auto"/>
                <w:left w:val="none" w:sz="0" w:space="0" w:color="auto"/>
                <w:bottom w:val="none" w:sz="0" w:space="0" w:color="auto"/>
                <w:right w:val="none" w:sz="0" w:space="0" w:color="auto"/>
              </w:divBdr>
            </w:div>
            <w:div w:id="1261184424">
              <w:marLeft w:val="0"/>
              <w:marRight w:val="0"/>
              <w:marTop w:val="0"/>
              <w:marBottom w:val="0"/>
              <w:divBdr>
                <w:top w:val="none" w:sz="0" w:space="0" w:color="auto"/>
                <w:left w:val="none" w:sz="0" w:space="0" w:color="auto"/>
                <w:bottom w:val="none" w:sz="0" w:space="0" w:color="auto"/>
                <w:right w:val="none" w:sz="0" w:space="0" w:color="auto"/>
              </w:divBdr>
            </w:div>
            <w:div w:id="706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Uttung Malkan</dc:creator>
  <cp:lastModifiedBy>Uttung Malkan - Global Markets</cp:lastModifiedBy>
  <cp:revision>6</cp:revision>
  <dcterms:created xsi:type="dcterms:W3CDTF">2017-06-21T03:34:00Z</dcterms:created>
  <dcterms:modified xsi:type="dcterms:W3CDTF">2017-07-11T04:50:00Z</dcterms:modified>
</cp:coreProperties>
</file>