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0E7C86" w:sz="8" w:space="4"/>
        </w:pBdr>
        <w:spacing w:after="160" w:before="320"/>
      </w:pPr>
      <w:r>
        <w:rPr>
          <w:b/>
          <w:bCs/>
          <w:color w:val="1B2A4A"/>
          <w:sz w:val="30"/>
          <w:szCs w:val="30"/>
        </w:rPr>
        <w:t xml:space="preserve">Independent Audit — Vodafone Idea rating and the two toolchain fixes</w:t>
      </w:r>
    </w:p>
    <w:p>
      <w:pPr>
        <w:spacing w:after="120" w:before="100"/>
      </w:pPr>
      <w:r>
        <w:rPr>
          <w:b/>
          <w:bCs/>
          <w:caps/>
          <w:color w:val="0E7C86"/>
          <w:spacing w:val="10"/>
          <w:sz w:val="20"/>
          <w:szCs w:val="20"/>
        </w:rPr>
        <w:t xml:space="preserve">01 September 2026</w:t>
      </w:r>
    </w:p>
    <w:p>
      <w:pPr>
        <w:spacing w:after="160"/>
      </w:pPr>
      <w:r>
        <w:rPr>
          <w:i/>
          <w:iCs/>
          <w:color w:val="555555"/>
          <w:sz w:val="20"/>
          <w:szCs w:val="20"/>
        </w:rPr>
        <w:t xml:space="preserve">Scope: the complete output of this working session — the Vodafone Idea Limited rating case, the webapp output-discovery fix, and the scorecard cached-value fix. Every check below was re-run from scratch for this audit; nothing is carried forward from the earlier working notes. Where a result is stated, the command that produced it is named.</w:t>
      </w:r>
    </w:p>
    <w:p>
      <w:pPr>
        <w:pBdr>
          <w:bottom w:val="single" w:color="C7D0DE" w:sz="6" w:space="4"/>
        </w:pBdr>
        <w:spacing w:after="200"/>
      </w:pPr>
    </w:p>
    <w:p>
      <w:pPr>
        <w:pStyle w:val="Heading2"/>
        <w:spacing w:after="120" w:before="260"/>
      </w:pPr>
      <w:r>
        <w:rPr>
          <w:b/>
          <w:bCs/>
          <w:color w:val="1B2A4A"/>
          <w:sz w:val="24"/>
          <w:szCs w:val="24"/>
        </w:rPr>
        <w:t xml:space="preserve">1. What this audit found, in one paragraph</w:t>
      </w:r>
    </w:p>
    <w:p>
      <w:pPr>
        <w:spacing w:after="160"/>
      </w:pPr>
      <w:r>
        <w:rPr>
          <w:sz w:val="21"/>
          <w:szCs w:val="21"/>
        </w:rPr>
        <w:t xml:space="preserve">The Vodafone Idea rating package is sound on its evidence and its arithmetic: 243 of 246 tie-outs reconcile, mutation-measured coverage is 98.4%, all 28 headline claims re-verify against the primary document, and every projection figure quoted reproduces from the model. </w:t>
      </w:r>
      <w:r>
        <w:rPr>
          <w:b/>
          <w:bCs/>
          <w:sz w:val="21"/>
          <w:szCs w:val="21"/>
        </w:rPr>
        <w:t xml:space="preserve">Two material defects were found in my own work and corrected during this audit</w:t>
      </w:r>
      <w:r>
        <w:rPr>
          <w:sz w:val="21"/>
          <w:szCs w:val="21"/>
        </w:rPr>
        <w:t xml:space="preserve"> — the rating action was labelled "assigned" while the report's own tables showed a prior rating and a previous rated amount, and the anchor divergence was overstated as 12 notches when it is 9. Both are now fixed. Three items remain open and are listed at section 7; one of them needs your decision, and the other two pre-date this session.</w:t>
      </w:r>
    </w:p>
    <w:p>
      <w:pPr>
        <w:pBdr>
          <w:bottom w:val="single" w:color="C7D0DE" w:sz="6" w:space="4"/>
        </w:pBdr>
        <w:spacing w:after="200"/>
      </w:pPr>
    </w:p>
    <w:p>
      <w:pPr>
        <w:pStyle w:val="Heading2"/>
        <w:spacing w:after="120" w:before="260"/>
      </w:pPr>
      <w:r>
        <w:rPr>
          <w:b/>
          <w:bCs/>
          <w:color w:val="1B2A4A"/>
          <w:sz w:val="24"/>
          <w:szCs w:val="24"/>
        </w:rPr>
        <w:t xml:space="preserve">2. Verification performed</w:t>
      </w:r>
    </w:p>
    <w:tbl>
      <w:tblPr>
        <w:tblW w:type="dxa" w:w="9360"/>
        <w:tblBorders>
          <w:top w:val="single" w:color="C7D0DE" w:sz="4"/>
          <w:left w:val="single" w:color="C7D0DE" w:sz="4"/>
          <w:bottom w:val="single" w:color="C7D0DE" w:sz="4"/>
          <w:right w:val="single" w:color="C7D0DE" w:sz="4"/>
          <w:insideH w:val="single" w:color="C7D0DE" w:sz="4"/>
          <w:insideV w:val="single" w:color="C7D0DE" w:sz="4"/>
        </w:tblBorders>
      </w:tblPr>
      <w:tblGrid>
        <w:gridCol w:w="2340"/>
        <w:gridCol w:w="2340"/>
        <w:gridCol w:w="2340"/>
        <w:gridCol w:w="2340"/>
      </w:tblGrid>
      <w:tr>
        <w:trPr>
          <w:tblHeader/>
        </w:trPr>
        <w:tc>
          <w:tcPr>
            <w:tcW w:type="dxa" w:w="2340"/>
            <w:shd w:fill="1B2A4A" w:val="clear"/>
            <w:tcMar>
              <w:top w:type="dxa" w:w="60"/>
              <w:left w:type="dxa" w:w="100"/>
              <w:bottom w:type="dxa" w:w="60"/>
              <w:right w:type="dxa" w:w="100"/>
            </w:tcMar>
          </w:tcPr>
          <w:p>
            <w:r>
              <w:rPr>
                <w:b/>
                <w:bCs/>
                <w:color w:val="FFFFFF"/>
                <w:sz w:val="19"/>
                <w:szCs w:val="19"/>
              </w:rPr>
              <w:t xml:space="preserve">#</w:t>
            </w:r>
          </w:p>
        </w:tc>
        <w:tc>
          <w:tcPr>
            <w:tcW w:type="dxa" w:w="2340"/>
            <w:shd w:fill="1B2A4A" w:val="clear"/>
            <w:tcMar>
              <w:top w:type="dxa" w:w="60"/>
              <w:left w:type="dxa" w:w="100"/>
              <w:bottom w:type="dxa" w:w="60"/>
              <w:right w:type="dxa" w:w="100"/>
            </w:tcMar>
          </w:tcPr>
          <w:p>
            <w:r>
              <w:rPr>
                <w:b/>
                <w:bCs/>
                <w:color w:val="FFFFFF"/>
                <w:sz w:val="19"/>
                <w:szCs w:val="19"/>
              </w:rPr>
              <w:t xml:space="preserve">Check</w:t>
            </w:r>
          </w:p>
        </w:tc>
        <w:tc>
          <w:tcPr>
            <w:tcW w:type="dxa" w:w="2340"/>
            <w:shd w:fill="1B2A4A" w:val="clear"/>
            <w:tcMar>
              <w:top w:type="dxa" w:w="60"/>
              <w:left w:type="dxa" w:w="100"/>
              <w:bottom w:type="dxa" w:w="60"/>
              <w:right w:type="dxa" w:w="100"/>
            </w:tcMar>
          </w:tcPr>
          <w:p>
            <w:r>
              <w:rPr>
                <w:b/>
                <w:bCs/>
                <w:color w:val="FFFFFF"/>
                <w:sz w:val="19"/>
                <w:szCs w:val="19"/>
              </w:rPr>
              <w:t xml:space="preserve">Command</w:t>
            </w:r>
          </w:p>
        </w:tc>
        <w:tc>
          <w:tcPr>
            <w:tcW w:type="dxa" w:w="2340"/>
            <w:shd w:fill="1B2A4A" w:val="clear"/>
            <w:tcMar>
              <w:top w:type="dxa" w:w="60"/>
              <w:left w:type="dxa" w:w="100"/>
              <w:bottom w:type="dxa" w:w="60"/>
              <w:right w:type="dxa" w:w="100"/>
            </w:tcMar>
          </w:tcPr>
          <w:p>
            <w:r>
              <w:rPr>
                <w:b/>
                <w:bCs/>
                <w:color w:val="FFFFFF"/>
                <w:sz w:val="19"/>
                <w:szCs w:val="19"/>
              </w:rPr>
              <w:t xml:space="preserve">Result</w:t>
            </w:r>
          </w:p>
        </w:tc>
      </w:tr>
      <w:tr>
        <w:tc>
          <w:tcPr>
            <w:tcW w:type="dxa" w:w="2340"/>
            <w:shd w:fill="FFFFFF" w:val="clear"/>
            <w:tcMar>
              <w:top w:type="dxa" w:w="60"/>
              <w:left w:type="dxa" w:w="100"/>
              <w:bottom w:type="dxa" w:w="60"/>
              <w:right w:type="dxa" w:w="100"/>
            </w:tcMar>
          </w:tcPr>
          <w:p>
            <w:r>
              <w:rPr>
                <w:b w:val="false"/>
                <w:bCs w:val="false"/>
                <w:sz w:val="19"/>
                <w:szCs w:val="19"/>
              </w:rPr>
              <w:t xml:space="preserve">A1</w:t>
            </w:r>
          </w:p>
        </w:tc>
        <w:tc>
          <w:tcPr>
            <w:tcW w:type="dxa" w:w="2340"/>
            <w:shd w:fill="FFFFFF" w:val="clear"/>
            <w:tcMar>
              <w:top w:type="dxa" w:w="60"/>
              <w:left w:type="dxa" w:w="100"/>
              <w:bottom w:type="dxa" w:w="60"/>
              <w:right w:type="dxa" w:w="100"/>
            </w:tcMar>
          </w:tcPr>
          <w:p>
            <w:r>
              <w:rPr>
                <w:b w:val="false"/>
                <w:bCs w:val="false"/>
                <w:sz w:val="19"/>
                <w:szCs w:val="19"/>
              </w:rPr>
              <w:t xml:space="preserve">Ratio engine reconciles</w:t>
            </w:r>
          </w:p>
        </w:tc>
        <w:tc>
          <w:tcPr>
            <w:tcW w:type="dxa" w:w="2340"/>
            <w:shd w:fill="FFFFFF" w:val="clear"/>
            <w:tcMar>
              <w:top w:type="dxa" w:w="60"/>
              <w:left w:type="dxa" w:w="100"/>
              <w:bottom w:type="dxa" w:w="60"/>
              <w:right w:type="dxa" w:w="100"/>
            </w:tcMar>
          </w:tcPr>
          <w:p>
            <w:r>
              <w:rPr>
                <w:rFonts w:ascii="Consolas" w:cs="Consolas" w:eastAsia="Consolas" w:hAnsi="Consolas"/>
                <w:b w:val="false"/>
                <w:bCs w:val="false"/>
                <w:sz w:val="19"/>
                <w:szCs w:val="19"/>
              </w:rPr>
              <w:t xml:space="preserve">python compute_ratios.py</w:t>
            </w:r>
          </w:p>
        </w:tc>
        <w:tc>
          <w:tcPr>
            <w:tcW w:type="dxa" w:w="2340"/>
            <w:shd w:fill="FFFFFF" w:val="clear"/>
            <w:tcMar>
              <w:top w:type="dxa" w:w="60"/>
              <w:left w:type="dxa" w:w="100"/>
              <w:bottom w:type="dxa" w:w="60"/>
              <w:right w:type="dxa" w:w="100"/>
            </w:tcMar>
          </w:tcPr>
          <w:p>
            <w:r>
              <w:rPr>
                <w:b/>
                <w:bCs/>
                <w:sz w:val="19"/>
                <w:szCs w:val="19"/>
              </w:rPr>
              <w:t xml:space="preserve">243 of 246</w:t>
            </w:r>
            <w:r>
              <w:rPr>
                <w:b w:val="false"/>
                <w:bCs w:val="false"/>
                <w:sz w:val="19"/>
                <w:szCs w:val="19"/>
              </w:rPr>
              <w:t xml:space="preserve">, 3 declared acknowledgements</w:t>
            </w:r>
          </w:p>
        </w:tc>
      </w:tr>
      <w:tr>
        <w:tc>
          <w:tcPr>
            <w:tcW w:type="dxa" w:w="2340"/>
            <w:shd w:fill="F4F6F9" w:val="clear"/>
            <w:tcMar>
              <w:top w:type="dxa" w:w="60"/>
              <w:left w:type="dxa" w:w="100"/>
              <w:bottom w:type="dxa" w:w="60"/>
              <w:right w:type="dxa" w:w="100"/>
            </w:tcMar>
          </w:tcPr>
          <w:p>
            <w:r>
              <w:rPr>
                <w:b w:val="false"/>
                <w:bCs w:val="false"/>
                <w:sz w:val="19"/>
                <w:szCs w:val="19"/>
              </w:rPr>
              <w:t xml:space="preserve">A2</w:t>
            </w:r>
          </w:p>
        </w:tc>
        <w:tc>
          <w:tcPr>
            <w:tcW w:type="dxa" w:w="2340"/>
            <w:shd w:fill="F4F6F9" w:val="clear"/>
            <w:tcMar>
              <w:top w:type="dxa" w:w="60"/>
              <w:left w:type="dxa" w:w="100"/>
              <w:bottom w:type="dxa" w:w="60"/>
              <w:right w:type="dxa" w:w="100"/>
            </w:tcMar>
          </w:tcPr>
          <w:p>
            <w:r>
              <w:rPr>
                <w:b w:val="false"/>
                <w:bCs w:val="false"/>
                <w:sz w:val="19"/>
                <w:szCs w:val="19"/>
              </w:rPr>
              <w:t xml:space="preserve">Coverage measured by mutation, not asserted</w:t>
            </w:r>
          </w:p>
        </w:tc>
        <w:tc>
          <w:tcPr>
            <w:tcW w:type="dxa" w:w="2340"/>
            <w:shd w:fill="F4F6F9" w:val="clear"/>
            <w:tcMar>
              <w:top w:type="dxa" w:w="60"/>
              <w:left w:type="dxa" w:w="100"/>
              <w:bottom w:type="dxa" w:w="60"/>
              <w:right w:type="dxa" w:w="100"/>
            </w:tcMar>
          </w:tcPr>
          <w:p>
            <w:r>
              <w:rPr>
                <w:rFonts w:ascii="Consolas" w:cs="Consolas" w:eastAsia="Consolas" w:hAnsi="Consolas"/>
                <w:b w:val="false"/>
                <w:bCs w:val="false"/>
                <w:sz w:val="19"/>
                <w:szCs w:val="19"/>
              </w:rPr>
              <w:t xml:space="preserve">python tieout_mutation.py vi</w:t>
            </w:r>
          </w:p>
        </w:tc>
        <w:tc>
          <w:tcPr>
            <w:tcW w:type="dxa" w:w="2340"/>
            <w:shd w:fill="F4F6F9" w:val="clear"/>
            <w:tcMar>
              <w:top w:type="dxa" w:w="60"/>
              <w:left w:type="dxa" w:w="100"/>
              <w:bottom w:type="dxa" w:w="60"/>
              <w:right w:type="dxa" w:w="100"/>
            </w:tcMar>
          </w:tcPr>
          <w:p>
            <w:r>
              <w:rPr>
                <w:b/>
                <w:bCs/>
                <w:sz w:val="19"/>
                <w:szCs w:val="19"/>
              </w:rPr>
              <w:t xml:space="preserve">98.4%</w:t>
            </w:r>
            <w:r>
              <w:rPr>
                <w:b w:val="false"/>
                <w:bCs w:val="false"/>
                <w:sz w:val="19"/>
                <w:szCs w:val="19"/>
              </w:rPr>
              <w:t xml:space="preserve"> — 187 inputs perturbed, 184 register on a check</w:t>
            </w:r>
          </w:p>
        </w:tc>
      </w:tr>
      <w:tr>
        <w:tc>
          <w:tcPr>
            <w:tcW w:type="dxa" w:w="2340"/>
            <w:shd w:fill="FFFFFF" w:val="clear"/>
            <w:tcMar>
              <w:top w:type="dxa" w:w="60"/>
              <w:left w:type="dxa" w:w="100"/>
              <w:bottom w:type="dxa" w:w="60"/>
              <w:right w:type="dxa" w:w="100"/>
            </w:tcMar>
          </w:tcPr>
          <w:p>
            <w:r>
              <w:rPr>
                <w:b w:val="false"/>
                <w:bCs w:val="false"/>
                <w:sz w:val="19"/>
                <w:szCs w:val="19"/>
              </w:rPr>
              <w:t xml:space="preserve">A3</w:t>
            </w:r>
          </w:p>
        </w:tc>
        <w:tc>
          <w:tcPr>
            <w:tcW w:type="dxa" w:w="2340"/>
            <w:shd w:fill="FFFFFF" w:val="clear"/>
            <w:tcMar>
              <w:top w:type="dxa" w:w="60"/>
              <w:left w:type="dxa" w:w="100"/>
              <w:bottom w:type="dxa" w:w="60"/>
              <w:right w:type="dxa" w:w="100"/>
            </w:tcMar>
          </w:tcPr>
          <w:p>
            <w:r>
              <w:rPr>
                <w:b w:val="false"/>
                <w:bCs w:val="false"/>
                <w:sz w:val="19"/>
                <w:szCs w:val="19"/>
              </w:rPr>
              <w:t xml:space="preserve">Anchor reproduces offline</w:t>
            </w:r>
          </w:p>
        </w:tc>
        <w:tc>
          <w:tcPr>
            <w:tcW w:type="dxa" w:w="2340"/>
            <w:shd w:fill="FFFFFF" w:val="clear"/>
            <w:tcMar>
              <w:top w:type="dxa" w:w="60"/>
              <w:left w:type="dxa" w:w="100"/>
              <w:bottom w:type="dxa" w:w="60"/>
              <w:right w:type="dxa" w:w="100"/>
            </w:tcMar>
          </w:tcPr>
          <w:p>
            <w:r>
              <w:rPr>
                <w:rFonts w:ascii="Consolas" w:cs="Consolas" w:eastAsia="Consolas" w:hAnsi="Consolas"/>
                <w:b w:val="false"/>
                <w:bCs w:val="false"/>
                <w:sz w:val="19"/>
                <w:szCs w:val="19"/>
              </w:rPr>
              <w:t xml:space="preserve">python rate_engine.py vi --engine local</w:t>
            </w:r>
          </w:p>
        </w:tc>
        <w:tc>
          <w:tcPr>
            <w:tcW w:type="dxa" w:w="2340"/>
            <w:shd w:fill="FFFFFF" w:val="clear"/>
            <w:tcMar>
              <w:top w:type="dxa" w:w="60"/>
              <w:left w:type="dxa" w:w="100"/>
              <w:bottom w:type="dxa" w:w="60"/>
              <w:right w:type="dxa" w:w="100"/>
            </w:tcMar>
          </w:tcPr>
          <w:p>
            <w:r>
              <w:rPr>
                <w:b/>
                <w:bCs/>
                <w:sz w:val="19"/>
                <w:szCs w:val="19"/>
              </w:rPr>
              <w:t xml:space="preserve">B-</w:t>
            </w:r>
            <w:r>
              <w:rPr>
                <w:b w:val="false"/>
                <w:bCs w:val="false"/>
                <w:sz w:val="19"/>
                <w:szCs w:val="19"/>
              </w:rPr>
              <w:t xml:space="preserve">, deterministic</w:t>
            </w:r>
          </w:p>
        </w:tc>
      </w:tr>
      <w:tr>
        <w:tc>
          <w:tcPr>
            <w:tcW w:type="dxa" w:w="2340"/>
            <w:shd w:fill="F4F6F9" w:val="clear"/>
            <w:tcMar>
              <w:top w:type="dxa" w:w="60"/>
              <w:left w:type="dxa" w:w="100"/>
              <w:bottom w:type="dxa" w:w="60"/>
              <w:right w:type="dxa" w:w="100"/>
            </w:tcMar>
          </w:tcPr>
          <w:p>
            <w:r>
              <w:rPr>
                <w:b w:val="false"/>
                <w:bCs w:val="false"/>
                <w:sz w:val="19"/>
                <w:szCs w:val="19"/>
              </w:rPr>
              <w:t xml:space="preserve">A4</w:t>
            </w:r>
          </w:p>
        </w:tc>
        <w:tc>
          <w:tcPr>
            <w:tcW w:type="dxa" w:w="2340"/>
            <w:shd w:fill="F4F6F9" w:val="clear"/>
            <w:tcMar>
              <w:top w:type="dxa" w:w="60"/>
              <w:left w:type="dxa" w:w="100"/>
              <w:bottom w:type="dxa" w:w="60"/>
              <w:right w:type="dxa" w:w="100"/>
            </w:tcMar>
          </w:tcPr>
          <w:p>
            <w:r>
              <w:rPr>
                <w:b w:val="false"/>
                <w:bCs w:val="false"/>
                <w:sz w:val="19"/>
                <w:szCs w:val="19"/>
              </w:rPr>
              <w:t xml:space="preserve">Delivery gate</w:t>
            </w:r>
          </w:p>
        </w:tc>
        <w:tc>
          <w:tcPr>
            <w:tcW w:type="dxa" w:w="2340"/>
            <w:shd w:fill="F4F6F9" w:val="clear"/>
            <w:tcMar>
              <w:top w:type="dxa" w:w="60"/>
              <w:left w:type="dxa" w:w="100"/>
              <w:bottom w:type="dxa" w:w="60"/>
              <w:right w:type="dxa" w:w="100"/>
            </w:tcMar>
          </w:tcPr>
          <w:p>
            <w:r>
              <w:rPr>
                <w:rFonts w:ascii="Consolas" w:cs="Consolas" w:eastAsia="Consolas" w:hAnsi="Consolas"/>
                <w:b w:val="false"/>
                <w:bCs w:val="false"/>
                <w:sz w:val="19"/>
                <w:szCs w:val="19"/>
              </w:rPr>
              <w:t xml:space="preserve">python check_sections.py "&lt;report&gt;.md"</w:t>
            </w:r>
          </w:p>
        </w:tc>
        <w:tc>
          <w:tcPr>
            <w:tcW w:type="dxa" w:w="2340"/>
            <w:shd w:fill="F4F6F9" w:val="clear"/>
            <w:tcMar>
              <w:top w:type="dxa" w:w="60"/>
              <w:left w:type="dxa" w:w="100"/>
              <w:bottom w:type="dxa" w:w="60"/>
              <w:right w:type="dxa" w:w="100"/>
            </w:tcMar>
          </w:tcPr>
          <w:p>
            <w:r>
              <w:rPr>
                <w:b/>
                <w:bCs/>
                <w:sz w:val="19"/>
                <w:szCs w:val="19"/>
              </w:rPr>
              <w:t xml:space="preserve">PASS</w:t>
            </w:r>
            <w:r>
              <w:rPr>
                <w:b w:val="false"/>
                <w:bCs w:val="false"/>
                <w:sz w:val="19"/>
                <w:szCs w:val="19"/>
              </w:rPr>
              <w:t xml:space="preserve"> — all mandatory sections, all quality probes</w:t>
            </w:r>
          </w:p>
        </w:tc>
      </w:tr>
      <w:tr>
        <w:tc>
          <w:tcPr>
            <w:tcW w:type="dxa" w:w="2340"/>
            <w:shd w:fill="FFFFFF" w:val="clear"/>
            <w:tcMar>
              <w:top w:type="dxa" w:w="60"/>
              <w:left w:type="dxa" w:w="100"/>
              <w:bottom w:type="dxa" w:w="60"/>
              <w:right w:type="dxa" w:w="100"/>
            </w:tcMar>
          </w:tcPr>
          <w:p>
            <w:r>
              <w:rPr>
                <w:b w:val="false"/>
                <w:bCs w:val="false"/>
                <w:sz w:val="19"/>
                <w:szCs w:val="19"/>
              </w:rPr>
              <w:t xml:space="preserve">A5</w:t>
            </w:r>
          </w:p>
        </w:tc>
        <w:tc>
          <w:tcPr>
            <w:tcW w:type="dxa" w:w="2340"/>
            <w:shd w:fill="FFFFFF" w:val="clear"/>
            <w:tcMar>
              <w:top w:type="dxa" w:w="60"/>
              <w:left w:type="dxa" w:w="100"/>
              <w:bottom w:type="dxa" w:w="60"/>
              <w:right w:type="dxa" w:w="100"/>
            </w:tcMar>
          </w:tcPr>
          <w:p>
            <w:r>
              <w:rPr>
                <w:b w:val="false"/>
                <w:bCs w:val="false"/>
                <w:sz w:val="19"/>
                <w:szCs w:val="19"/>
              </w:rPr>
              <w:t xml:space="preserve">Headline claims vs the primary document</w:t>
            </w:r>
          </w:p>
        </w:tc>
        <w:tc>
          <w:tcPr>
            <w:tcW w:type="dxa" w:w="2340"/>
            <w:shd w:fill="FFFFFF" w:val="clear"/>
            <w:tcMar>
              <w:top w:type="dxa" w:w="60"/>
              <w:left w:type="dxa" w:w="100"/>
              <w:bottom w:type="dxa" w:w="60"/>
              <w:right w:type="dxa" w:w="100"/>
            </w:tcMar>
          </w:tcPr>
          <w:p>
            <w:r>
              <w:rPr>
                <w:b w:val="false"/>
                <w:bCs w:val="false"/>
                <w:sz w:val="19"/>
                <w:szCs w:val="19"/>
              </w:rPr>
              <w:t xml:space="preserve">28 targeted greps of the FY2025-26 annual report</w:t>
            </w:r>
          </w:p>
        </w:tc>
        <w:tc>
          <w:tcPr>
            <w:tcW w:type="dxa" w:w="2340"/>
            <w:shd w:fill="FFFFFF" w:val="clear"/>
            <w:tcMar>
              <w:top w:type="dxa" w:w="60"/>
              <w:left w:type="dxa" w:w="100"/>
              <w:bottom w:type="dxa" w:w="60"/>
              <w:right w:type="dxa" w:w="100"/>
            </w:tcMar>
          </w:tcPr>
          <w:p>
            <w:r>
              <w:rPr>
                <w:b/>
                <w:bCs/>
                <w:sz w:val="19"/>
                <w:szCs w:val="19"/>
              </w:rPr>
              <w:t xml:space="preserve">28 of 28 present</w:t>
            </w:r>
          </w:p>
        </w:tc>
      </w:tr>
      <w:tr>
        <w:tc>
          <w:tcPr>
            <w:tcW w:type="dxa" w:w="2340"/>
            <w:shd w:fill="F4F6F9" w:val="clear"/>
            <w:tcMar>
              <w:top w:type="dxa" w:w="60"/>
              <w:left w:type="dxa" w:w="100"/>
              <w:bottom w:type="dxa" w:w="60"/>
              <w:right w:type="dxa" w:w="100"/>
            </w:tcMar>
          </w:tcPr>
          <w:p>
            <w:r>
              <w:rPr>
                <w:b w:val="false"/>
                <w:bCs w:val="false"/>
                <w:sz w:val="19"/>
                <w:szCs w:val="19"/>
              </w:rPr>
              <w:t xml:space="preserve">A6</w:t>
            </w:r>
          </w:p>
        </w:tc>
        <w:tc>
          <w:tcPr>
            <w:tcW w:type="dxa" w:w="2340"/>
            <w:shd w:fill="F4F6F9" w:val="clear"/>
            <w:tcMar>
              <w:top w:type="dxa" w:w="60"/>
              <w:left w:type="dxa" w:w="100"/>
              <w:bottom w:type="dxa" w:w="60"/>
              <w:right w:type="dxa" w:w="100"/>
            </w:tcMar>
          </w:tcPr>
          <w:p>
            <w:r>
              <w:rPr>
                <w:b w:val="false"/>
                <w:bCs w:val="false"/>
                <w:sz w:val="19"/>
                <w:szCs w:val="19"/>
              </w:rPr>
              <w:t xml:space="preserve">Computed-figure drift</w:t>
            </w:r>
          </w:p>
        </w:tc>
        <w:tc>
          <w:tcPr>
            <w:tcW w:type="dxa" w:w="2340"/>
            <w:shd w:fill="F4F6F9" w:val="clear"/>
            <w:tcMar>
              <w:top w:type="dxa" w:w="60"/>
              <w:left w:type="dxa" w:w="100"/>
              <w:bottom w:type="dxa" w:w="60"/>
              <w:right w:type="dxa" w:w="100"/>
            </w:tcMar>
          </w:tcPr>
          <w:p>
            <w:r>
              <w:rPr>
                <w:b w:val="false"/>
                <w:bCs w:val="false"/>
                <w:sz w:val="19"/>
                <w:szCs w:val="19"/>
              </w:rPr>
              <w:t xml:space="preserve">Engine re-run against the draft text</w:t>
            </w:r>
          </w:p>
        </w:tc>
        <w:tc>
          <w:tcPr>
            <w:tcW w:type="dxa" w:w="2340"/>
            <w:shd w:fill="F4F6F9" w:val="clear"/>
            <w:tcMar>
              <w:top w:type="dxa" w:w="60"/>
              <w:left w:type="dxa" w:w="100"/>
              <w:bottom w:type="dxa" w:w="60"/>
              <w:right w:type="dxa" w:w="100"/>
            </w:tcMar>
          </w:tcPr>
          <w:p>
            <w:r>
              <w:rPr>
                <w:b/>
                <w:bCs/>
                <w:sz w:val="19"/>
                <w:szCs w:val="19"/>
              </w:rPr>
              <w:t xml:space="preserve">No drift.</w:t>
            </w:r>
            <w:r>
              <w:rPr>
                <w:b w:val="false"/>
                <w:bCs w:val="false"/>
                <w:sz w:val="19"/>
                <w:szCs w:val="19"/>
              </w:rPr>
              <w:t xml:space="preserve"> Two figures absent are simply not quoted</w:t>
            </w:r>
          </w:p>
        </w:tc>
      </w:tr>
      <w:tr>
        <w:tc>
          <w:tcPr>
            <w:tcW w:type="dxa" w:w="2340"/>
            <w:shd w:fill="FFFFFF" w:val="clear"/>
            <w:tcMar>
              <w:top w:type="dxa" w:w="60"/>
              <w:left w:type="dxa" w:w="100"/>
              <w:bottom w:type="dxa" w:w="60"/>
              <w:right w:type="dxa" w:w="100"/>
            </w:tcMar>
          </w:tcPr>
          <w:p>
            <w:r>
              <w:rPr>
                <w:b w:val="false"/>
                <w:bCs w:val="false"/>
                <w:sz w:val="19"/>
                <w:szCs w:val="19"/>
              </w:rPr>
              <w:t xml:space="preserve">A7</w:t>
            </w:r>
          </w:p>
        </w:tc>
        <w:tc>
          <w:tcPr>
            <w:tcW w:type="dxa" w:w="2340"/>
            <w:shd w:fill="FFFFFF" w:val="clear"/>
            <w:tcMar>
              <w:top w:type="dxa" w:w="60"/>
              <w:left w:type="dxa" w:w="100"/>
              <w:bottom w:type="dxa" w:w="60"/>
              <w:right w:type="dxa" w:w="100"/>
            </w:tcMar>
          </w:tcPr>
          <w:p>
            <w:r>
              <w:rPr>
                <w:b w:val="false"/>
                <w:bCs w:val="false"/>
                <w:sz w:val="19"/>
                <w:szCs w:val="19"/>
              </w:rPr>
              <w:t xml:space="preserve">Derived percentages</w:t>
            </w:r>
          </w:p>
        </w:tc>
        <w:tc>
          <w:tcPr>
            <w:tcW w:type="dxa" w:w="2340"/>
            <w:shd w:fill="FFFFFF" w:val="clear"/>
            <w:tcMar>
              <w:top w:type="dxa" w:w="60"/>
              <w:left w:type="dxa" w:w="100"/>
              <w:bottom w:type="dxa" w:w="60"/>
              <w:right w:type="dxa" w:w="100"/>
            </w:tcMar>
          </w:tcPr>
          <w:p>
            <w:r>
              <w:rPr>
                <w:b w:val="false"/>
                <w:bCs w:val="false"/>
                <w:sz w:val="19"/>
                <w:szCs w:val="19"/>
              </w:rPr>
              <w:t xml:space="preserve">25 recomputations</w:t>
            </w:r>
          </w:p>
        </w:tc>
        <w:tc>
          <w:tcPr>
            <w:tcW w:type="dxa" w:w="2340"/>
            <w:shd w:fill="FFFFFF" w:val="clear"/>
            <w:tcMar>
              <w:top w:type="dxa" w:w="60"/>
              <w:left w:type="dxa" w:w="100"/>
              <w:bottom w:type="dxa" w:w="60"/>
              <w:right w:type="dxa" w:w="100"/>
            </w:tcMar>
          </w:tcPr>
          <w:p>
            <w:r>
              <w:rPr>
                <w:b w:val="false"/>
                <w:bCs w:val="false"/>
                <w:sz w:val="19"/>
                <w:szCs w:val="19"/>
              </w:rPr>
              <w:t xml:space="preserve">All reconcile; one corrected earlier in the session (ARPU)</w:t>
            </w:r>
          </w:p>
        </w:tc>
      </w:tr>
      <w:tr>
        <w:tc>
          <w:tcPr>
            <w:tcW w:type="dxa" w:w="2340"/>
            <w:shd w:fill="F4F6F9" w:val="clear"/>
            <w:tcMar>
              <w:top w:type="dxa" w:w="60"/>
              <w:left w:type="dxa" w:w="100"/>
              <w:bottom w:type="dxa" w:w="60"/>
              <w:right w:type="dxa" w:w="100"/>
            </w:tcMar>
          </w:tcPr>
          <w:p>
            <w:r>
              <w:rPr>
                <w:b w:val="false"/>
                <w:bCs w:val="false"/>
                <w:sz w:val="19"/>
                <w:szCs w:val="19"/>
              </w:rPr>
              <w:t xml:space="preserve">A8</w:t>
            </w:r>
          </w:p>
        </w:tc>
        <w:tc>
          <w:tcPr>
            <w:tcW w:type="dxa" w:w="2340"/>
            <w:shd w:fill="F4F6F9" w:val="clear"/>
            <w:tcMar>
              <w:top w:type="dxa" w:w="60"/>
              <w:left w:type="dxa" w:w="100"/>
              <w:bottom w:type="dxa" w:w="60"/>
              <w:right w:type="dxa" w:w="100"/>
            </w:tcMar>
          </w:tcPr>
          <w:p>
            <w:r>
              <w:rPr>
                <w:b w:val="false"/>
                <w:bCs w:val="false"/>
                <w:sz w:val="19"/>
                <w:szCs w:val="19"/>
              </w:rPr>
              <w:t xml:space="preserve">Projection figures</w:t>
            </w:r>
          </w:p>
        </w:tc>
        <w:tc>
          <w:tcPr>
            <w:tcW w:type="dxa" w:w="2340"/>
            <w:shd w:fill="F4F6F9" w:val="clear"/>
            <w:tcMar>
              <w:top w:type="dxa" w:w="60"/>
              <w:left w:type="dxa" w:w="100"/>
              <w:bottom w:type="dxa" w:w="60"/>
              <w:right w:type="dxa" w:w="100"/>
            </w:tcMar>
          </w:tcPr>
          <w:p>
            <w:r>
              <w:rPr>
                <w:rFonts w:ascii="Consolas" w:cs="Consolas" w:eastAsia="Consolas" w:hAnsi="Consolas"/>
                <w:b w:val="false"/>
                <w:bCs w:val="false"/>
                <w:sz w:val="19"/>
                <w:szCs w:val="19"/>
              </w:rPr>
              <w:t xml:space="preserve">python forward_model.py</w:t>
            </w:r>
          </w:p>
        </w:tc>
        <w:tc>
          <w:tcPr>
            <w:tcW w:type="dxa" w:w="2340"/>
            <w:shd w:fill="F4F6F9" w:val="clear"/>
            <w:tcMar>
              <w:top w:type="dxa" w:w="60"/>
              <w:left w:type="dxa" w:w="100"/>
              <w:bottom w:type="dxa" w:w="60"/>
              <w:right w:type="dxa" w:w="100"/>
            </w:tcMar>
          </w:tcPr>
          <w:p>
            <w:r>
              <w:rPr>
                <w:b/>
                <w:bCs/>
                <w:sz w:val="19"/>
                <w:szCs w:val="19"/>
              </w:rPr>
              <w:t xml:space="preserve">6 of 6</w:t>
            </w:r>
            <w:r>
              <w:rPr>
                <w:b w:val="false"/>
                <w:bCs w:val="false"/>
                <w:sz w:val="19"/>
                <w:szCs w:val="19"/>
              </w:rPr>
              <w:t xml:space="preserve"> reproduce exactly</w:t>
            </w:r>
          </w:p>
        </w:tc>
      </w:tr>
      <w:tr>
        <w:tc>
          <w:tcPr>
            <w:tcW w:type="dxa" w:w="2340"/>
            <w:shd w:fill="FFFFFF" w:val="clear"/>
            <w:tcMar>
              <w:top w:type="dxa" w:w="60"/>
              <w:left w:type="dxa" w:w="100"/>
              <w:bottom w:type="dxa" w:w="60"/>
              <w:right w:type="dxa" w:w="100"/>
            </w:tcMar>
          </w:tcPr>
          <w:p>
            <w:r>
              <w:rPr>
                <w:b w:val="false"/>
                <w:bCs w:val="false"/>
                <w:sz w:val="19"/>
                <w:szCs w:val="19"/>
              </w:rPr>
              <w:t xml:space="preserve">A9</w:t>
            </w:r>
          </w:p>
        </w:tc>
        <w:tc>
          <w:tcPr>
            <w:tcW w:type="dxa" w:w="2340"/>
            <w:shd w:fill="FFFFFF" w:val="clear"/>
            <w:tcMar>
              <w:top w:type="dxa" w:w="60"/>
              <w:left w:type="dxa" w:w="100"/>
              <w:bottom w:type="dxa" w:w="60"/>
              <w:right w:type="dxa" w:w="100"/>
            </w:tcMar>
          </w:tcPr>
          <w:p>
            <w:r>
              <w:rPr>
                <w:b w:val="false"/>
                <w:bCs w:val="false"/>
                <w:sz w:val="19"/>
                <w:szCs w:val="19"/>
              </w:rPr>
              <w:t xml:space="preserve">Subsidiary names in Annexure II</w:t>
            </w:r>
          </w:p>
        </w:tc>
        <w:tc>
          <w:tcPr>
            <w:tcW w:type="dxa" w:w="2340"/>
            <w:shd w:fill="FFFFFF" w:val="clear"/>
            <w:tcMar>
              <w:top w:type="dxa" w:w="60"/>
              <w:left w:type="dxa" w:w="100"/>
              <w:bottom w:type="dxa" w:w="60"/>
              <w:right w:type="dxa" w:w="100"/>
            </w:tcMar>
          </w:tcPr>
          <w:p>
            <w:r>
              <w:rPr>
                <w:b w:val="false"/>
                <w:bCs w:val="false"/>
                <w:sz w:val="19"/>
                <w:szCs w:val="19"/>
              </w:rPr>
              <w:t xml:space="preserve">7 greps of the annual report</w:t>
            </w:r>
          </w:p>
        </w:tc>
        <w:tc>
          <w:tcPr>
            <w:tcW w:type="dxa" w:w="2340"/>
            <w:shd w:fill="FFFFFF" w:val="clear"/>
            <w:tcMar>
              <w:top w:type="dxa" w:w="60"/>
              <w:left w:type="dxa" w:w="100"/>
              <w:bottom w:type="dxa" w:w="60"/>
              <w:right w:type="dxa" w:w="100"/>
            </w:tcMar>
          </w:tcPr>
          <w:p>
            <w:r>
              <w:rPr>
                <w:b/>
                <w:bCs/>
                <w:sz w:val="19"/>
                <w:szCs w:val="19"/>
              </w:rPr>
              <w:t xml:space="preserve">7 of 7 present</w:t>
            </w:r>
            <w:r>
              <w:rPr>
                <w:b w:val="false"/>
                <w:bCs w:val="false"/>
                <w:sz w:val="19"/>
                <w:szCs w:val="19"/>
              </w:rPr>
              <w:t xml:space="preserve">, full legal names</w:t>
            </w:r>
          </w:p>
        </w:tc>
      </w:tr>
      <w:tr>
        <w:tc>
          <w:tcPr>
            <w:tcW w:type="dxa" w:w="2340"/>
            <w:shd w:fill="F4F6F9" w:val="clear"/>
            <w:tcMar>
              <w:top w:type="dxa" w:w="60"/>
              <w:left w:type="dxa" w:w="100"/>
              <w:bottom w:type="dxa" w:w="60"/>
              <w:right w:type="dxa" w:w="100"/>
            </w:tcMar>
          </w:tcPr>
          <w:p>
            <w:r>
              <w:rPr>
                <w:b w:val="false"/>
                <w:bCs w:val="false"/>
                <w:sz w:val="19"/>
                <w:szCs w:val="19"/>
              </w:rPr>
              <w:t xml:space="preserve">A10</w:t>
            </w:r>
          </w:p>
        </w:tc>
        <w:tc>
          <w:tcPr>
            <w:tcW w:type="dxa" w:w="2340"/>
            <w:shd w:fill="F4F6F9" w:val="clear"/>
            <w:tcMar>
              <w:top w:type="dxa" w:w="60"/>
              <w:left w:type="dxa" w:w="100"/>
              <w:bottom w:type="dxa" w:w="60"/>
              <w:right w:type="dxa" w:w="100"/>
            </w:tcMar>
          </w:tcPr>
          <w:p>
            <w:r>
              <w:rPr>
                <w:b w:val="false"/>
                <w:bCs w:val="false"/>
                <w:sz w:val="19"/>
                <w:szCs w:val="19"/>
              </w:rPr>
              <w:t xml:space="preserve">Scorecard readable in any viewer</w:t>
            </w:r>
          </w:p>
        </w:tc>
        <w:tc>
          <w:tcPr>
            <w:tcW w:type="dxa" w:w="2340"/>
            <w:shd w:fill="F4F6F9" w:val="clear"/>
            <w:tcMar>
              <w:top w:type="dxa" w:w="60"/>
              <w:left w:type="dxa" w:w="100"/>
              <w:bottom w:type="dxa" w:w="60"/>
              <w:right w:type="dxa" w:w="100"/>
            </w:tcMar>
          </w:tcPr>
          <w:p>
            <w:r>
              <w:rPr>
                <w:b w:val="false"/>
                <w:bCs w:val="false"/>
                <w:sz w:val="19"/>
                <w:szCs w:val="19"/>
              </w:rPr>
              <w:t xml:space="preserve">openpyxl </w:t>
            </w:r>
            <w:r>
              <w:rPr>
                <w:rFonts w:ascii="Consolas" w:cs="Consolas" w:eastAsia="Consolas" w:hAnsi="Consolas"/>
                <w:b w:val="false"/>
                <w:bCs w:val="false"/>
                <w:sz w:val="19"/>
                <w:szCs w:val="19"/>
              </w:rPr>
              <w:t xml:space="preserve">data_only=True</w:t>
            </w:r>
            <w:r>
              <w:rPr>
                <w:b w:val="false"/>
                <w:bCs w:val="false"/>
                <w:sz w:val="19"/>
                <w:szCs w:val="19"/>
              </w:rPr>
              <w:t xml:space="preserve"> across all workbooks</w:t>
            </w:r>
          </w:p>
        </w:tc>
        <w:tc>
          <w:tcPr>
            <w:tcW w:type="dxa" w:w="2340"/>
            <w:shd w:fill="F4F6F9" w:val="clear"/>
            <w:tcMar>
              <w:top w:type="dxa" w:w="60"/>
              <w:left w:type="dxa" w:w="100"/>
              <w:bottom w:type="dxa" w:w="60"/>
              <w:right w:type="dxa" w:w="100"/>
            </w:tcMar>
          </w:tcPr>
          <w:p>
            <w:r>
              <w:rPr>
                <w:b/>
                <w:bCs/>
                <w:sz w:val="19"/>
                <w:szCs w:val="19"/>
              </w:rPr>
              <w:t xml:space="preserve">13 checked, 0 with blank formula cells</w:t>
            </w:r>
          </w:p>
        </w:tc>
      </w:tr>
      <w:tr>
        <w:tc>
          <w:tcPr>
            <w:tcW w:type="dxa" w:w="2340"/>
            <w:shd w:fill="FFFFFF" w:val="clear"/>
            <w:tcMar>
              <w:top w:type="dxa" w:w="60"/>
              <w:left w:type="dxa" w:w="100"/>
              <w:bottom w:type="dxa" w:w="60"/>
              <w:right w:type="dxa" w:w="100"/>
            </w:tcMar>
          </w:tcPr>
          <w:p>
            <w:r>
              <w:rPr>
                <w:b w:val="false"/>
                <w:bCs w:val="false"/>
                <w:sz w:val="19"/>
                <w:szCs w:val="19"/>
              </w:rPr>
              <w:t xml:space="preserve">A11</w:t>
            </w:r>
          </w:p>
        </w:tc>
        <w:tc>
          <w:tcPr>
            <w:tcW w:type="dxa" w:w="2340"/>
            <w:shd w:fill="FFFFFF" w:val="clear"/>
            <w:tcMar>
              <w:top w:type="dxa" w:w="60"/>
              <w:left w:type="dxa" w:w="100"/>
              <w:bottom w:type="dxa" w:w="60"/>
              <w:right w:type="dxa" w:w="100"/>
            </w:tcMar>
          </w:tcPr>
          <w:p>
            <w:r>
              <w:rPr>
                <w:b w:val="false"/>
                <w:bCs w:val="false"/>
                <w:sz w:val="19"/>
                <w:szCs w:val="19"/>
              </w:rPr>
              <w:t xml:space="preserve">Webapp fix, on the live server</w:t>
            </w:r>
          </w:p>
        </w:tc>
        <w:tc>
          <w:tcPr>
            <w:tcW w:type="dxa" w:w="2340"/>
            <w:shd w:fill="FFFFFF" w:val="clear"/>
            <w:tcMar>
              <w:top w:type="dxa" w:w="60"/>
              <w:left w:type="dxa" w:w="100"/>
              <w:bottom w:type="dxa" w:w="60"/>
              <w:right w:type="dxa" w:w="100"/>
            </w:tcMar>
          </w:tcPr>
          <w:p>
            <w:r>
              <w:rPr>
                <w:b w:val="false"/>
                <w:bCs w:val="false"/>
                <w:sz w:val="19"/>
                <w:szCs w:val="19"/>
              </w:rPr>
              <w:t xml:space="preserve">HTTP GET to </w:t>
            </w:r>
            <w:r>
              <w:rPr>
                <w:rFonts w:ascii="Consolas" w:cs="Consolas" w:eastAsia="Consolas" w:hAnsi="Consolas"/>
                <w:b w:val="false"/>
                <w:bCs w:val="false"/>
                <w:sz w:val="19"/>
                <w:szCs w:val="19"/>
              </w:rPr>
              <w:t xml:space="preserve">127.0.0.1:5050</w:t>
            </w:r>
          </w:p>
        </w:tc>
        <w:tc>
          <w:tcPr>
            <w:tcW w:type="dxa" w:w="2340"/>
            <w:shd w:fill="FFFFFF" w:val="clear"/>
            <w:tcMar>
              <w:top w:type="dxa" w:w="60"/>
              <w:left w:type="dxa" w:w="100"/>
              <w:bottom w:type="dxa" w:w="60"/>
              <w:right w:type="dxa" w:w="100"/>
            </w:tcMar>
          </w:tcPr>
          <w:p>
            <w:r>
              <w:rPr>
                <w:b/>
                <w:bCs/>
                <w:sz w:val="19"/>
                <w:szCs w:val="19"/>
              </w:rPr>
              <w:t xml:space="preserve">200</w:t>
            </w:r>
            <w:r>
              <w:rPr>
                <w:b w:val="false"/>
                <w:bCs w:val="false"/>
                <w:sz w:val="19"/>
                <w:szCs w:val="19"/>
              </w:rPr>
              <w:t xml:space="preserve">, all 6 Vi outputs listed</w:t>
            </w:r>
          </w:p>
        </w:tc>
      </w:tr>
      <w:tr>
        <w:tc>
          <w:tcPr>
            <w:tcW w:type="dxa" w:w="2340"/>
            <w:shd w:fill="F4F6F9" w:val="clear"/>
            <w:tcMar>
              <w:top w:type="dxa" w:w="60"/>
              <w:left w:type="dxa" w:w="100"/>
              <w:bottom w:type="dxa" w:w="60"/>
              <w:right w:type="dxa" w:w="100"/>
            </w:tcMar>
          </w:tcPr>
          <w:p>
            <w:r>
              <w:rPr>
                <w:b w:val="false"/>
                <w:bCs w:val="false"/>
                <w:sz w:val="19"/>
                <w:szCs w:val="19"/>
              </w:rPr>
              <w:t xml:space="preserve">A12</w:t>
            </w:r>
          </w:p>
        </w:tc>
        <w:tc>
          <w:tcPr>
            <w:tcW w:type="dxa" w:w="2340"/>
            <w:shd w:fill="F4F6F9" w:val="clear"/>
            <w:tcMar>
              <w:top w:type="dxa" w:w="60"/>
              <w:left w:type="dxa" w:w="100"/>
              <w:bottom w:type="dxa" w:w="60"/>
              <w:right w:type="dxa" w:w="100"/>
            </w:tcMar>
          </w:tcPr>
          <w:p>
            <w:r>
              <w:rPr>
                <w:b w:val="false"/>
                <w:bCs w:val="false"/>
                <w:sz w:val="19"/>
                <w:szCs w:val="19"/>
              </w:rPr>
              <w:t xml:space="preserve">No regression in the rating engine</w:t>
            </w:r>
          </w:p>
        </w:tc>
        <w:tc>
          <w:tcPr>
            <w:tcW w:type="dxa" w:w="2340"/>
            <w:shd w:fill="F4F6F9" w:val="clear"/>
            <w:tcMar>
              <w:top w:type="dxa" w:w="60"/>
              <w:left w:type="dxa" w:w="100"/>
              <w:bottom w:type="dxa" w:w="60"/>
              <w:right w:type="dxa" w:w="100"/>
            </w:tcMar>
          </w:tcPr>
          <w:p>
            <w:r>
              <w:rPr>
                <w:rFonts w:ascii="Consolas" w:cs="Consolas" w:eastAsia="Consolas" w:hAnsi="Consolas"/>
                <w:b w:val="false"/>
                <w:bCs w:val="false"/>
                <w:sz w:val="19"/>
                <w:szCs w:val="19"/>
              </w:rPr>
              <w:t xml:space="preserve">python test_rate_engine.py</w:t>
            </w:r>
          </w:p>
        </w:tc>
        <w:tc>
          <w:tcPr>
            <w:tcW w:type="dxa" w:w="2340"/>
            <w:shd w:fill="F4F6F9" w:val="clear"/>
            <w:tcMar>
              <w:top w:type="dxa" w:w="60"/>
              <w:left w:type="dxa" w:w="100"/>
              <w:bottom w:type="dxa" w:w="60"/>
              <w:right w:type="dxa" w:w="100"/>
            </w:tcMar>
          </w:tcPr>
          <w:p>
            <w:r>
              <w:rPr>
                <w:b/>
                <w:bCs/>
                <w:sz w:val="19"/>
                <w:szCs w:val="19"/>
              </w:rPr>
              <w:t xml:space="preserve">all checks passed</w:t>
            </w:r>
          </w:p>
        </w:tc>
      </w:tr>
      <w:tr>
        <w:tc>
          <w:tcPr>
            <w:tcW w:type="dxa" w:w="2340"/>
            <w:shd w:fill="FFFFFF" w:val="clear"/>
            <w:tcMar>
              <w:top w:type="dxa" w:w="60"/>
              <w:left w:type="dxa" w:w="100"/>
              <w:bottom w:type="dxa" w:w="60"/>
              <w:right w:type="dxa" w:w="100"/>
            </w:tcMar>
          </w:tcPr>
          <w:p>
            <w:r>
              <w:rPr>
                <w:b w:val="false"/>
                <w:bCs w:val="false"/>
                <w:sz w:val="19"/>
                <w:szCs w:val="19"/>
              </w:rPr>
              <w:t xml:space="preserve">A13</w:t>
            </w:r>
          </w:p>
        </w:tc>
        <w:tc>
          <w:tcPr>
            <w:tcW w:type="dxa" w:w="2340"/>
            <w:shd w:fill="FFFFFF" w:val="clear"/>
            <w:tcMar>
              <w:top w:type="dxa" w:w="60"/>
              <w:left w:type="dxa" w:w="100"/>
              <w:bottom w:type="dxa" w:w="60"/>
              <w:right w:type="dxa" w:w="100"/>
            </w:tcMar>
          </w:tcPr>
          <w:p>
            <w:r>
              <w:rPr>
                <w:b w:val="false"/>
                <w:bCs w:val="false"/>
                <w:sz w:val="19"/>
                <w:szCs w:val="19"/>
              </w:rPr>
              <w:t xml:space="preserve">Scorecard inputs unaltered by the recalc</w:t>
            </w:r>
          </w:p>
        </w:tc>
        <w:tc>
          <w:tcPr>
            <w:tcW w:type="dxa" w:w="2340"/>
            <w:shd w:fill="FFFFFF" w:val="clear"/>
            <w:tcMar>
              <w:top w:type="dxa" w:w="60"/>
              <w:left w:type="dxa" w:w="100"/>
              <w:bottom w:type="dxa" w:w="60"/>
              <w:right w:type="dxa" w:w="100"/>
            </w:tcMar>
          </w:tcPr>
          <w:p>
            <w:r>
              <w:rPr>
                <w:b w:val="false"/>
                <w:bCs w:val="false"/>
                <w:sz w:val="19"/>
                <w:szCs w:val="19"/>
              </w:rPr>
              <w:t xml:space="preserve">Direct cell read-back</w:t>
            </w:r>
          </w:p>
        </w:tc>
        <w:tc>
          <w:tcPr>
            <w:tcW w:type="dxa" w:w="2340"/>
            <w:shd w:fill="FFFFFF" w:val="clear"/>
            <w:tcMar>
              <w:top w:type="dxa" w:w="60"/>
              <w:left w:type="dxa" w:w="100"/>
              <w:bottom w:type="dxa" w:w="60"/>
              <w:right w:type="dxa" w:w="100"/>
            </w:tcMar>
          </w:tcPr>
          <w:p>
            <w:r>
              <w:rPr>
                <w:b w:val="false"/>
                <w:bCs w:val="false"/>
                <w:sz w:val="19"/>
                <w:szCs w:val="19"/>
              </w:rPr>
              <w:t xml:space="preserve">Inputs and qualitative scores unchanged</w:t>
            </w:r>
          </w:p>
        </w:tc>
      </w:tr>
    </w:tbl>
    <w:p>
      <w:pPr>
        <w:spacing w:after="200"/>
      </w:pPr>
    </w:p>
    <w:p>
      <w:pPr>
        <w:pBdr>
          <w:bottom w:val="single" w:color="C7D0DE" w:sz="6" w:space="4"/>
        </w:pBdr>
        <w:spacing w:after="200"/>
      </w:pPr>
    </w:p>
    <w:p>
      <w:pPr>
        <w:pStyle w:val="Heading2"/>
        <w:spacing w:after="120" w:before="260"/>
      </w:pPr>
      <w:r>
        <w:rPr>
          <w:b/>
          <w:bCs/>
          <w:color w:val="1B2A4A"/>
          <w:sz w:val="24"/>
          <w:szCs w:val="24"/>
        </w:rPr>
        <w:t xml:space="preserve">3. Finding 1 — MATERIAL, CORRECTED: the rating action contradicted its own tables</w:t>
      </w:r>
    </w:p>
    <w:p>
      <w:pPr>
        <w:spacing w:after="160"/>
      </w:pPr>
      <w:r>
        <w:rPr>
          <w:b/>
          <w:bCs/>
          <w:sz w:val="21"/>
          <w:szCs w:val="21"/>
        </w:rPr>
        <w:t xml:space="preserve">What was wrong.</w:t>
      </w:r>
      <w:r>
        <w:rPr>
          <w:sz w:val="21"/>
          <w:szCs w:val="21"/>
        </w:rPr>
        <w:t xml:space="preserve"> The report was headed </w:t>
      </w:r>
      <w:r>
        <w:rPr>
          <w:i/>
          <w:iCs/>
          <w:sz w:val="21"/>
          <w:szCs w:val="21"/>
        </w:rPr>
        <w:t xml:space="preserve">"Vodafone Idea Limited: [ICRA]A- (Stable); assigned"</w:t>
      </w:r>
      <w:r>
        <w:rPr>
          <w:sz w:val="21"/>
          <w:szCs w:val="21"/>
        </w:rPr>
        <w:t xml:space="preserve">, and the Summary of rating action carried the same word. But the same table showed a </w:t>
      </w:r>
      <w:r>
        <w:rPr>
          <w:b/>
          <w:bCs/>
          <w:sz w:val="21"/>
          <w:szCs w:val="21"/>
        </w:rPr>
        <w:t xml:space="preserve">Previous rated amount of Rs. 2,327.00 crore</w:t>
      </w:r>
      <w:r>
        <w:rPr>
          <w:sz w:val="21"/>
          <w:szCs w:val="21"/>
        </w:rPr>
        <w:t xml:space="preserve">, and the Rating history section showed an unbroken series — [ICRA]BBB- (Stable) assigned April 2025, upgraded to [ICRA]BBB (Positive) in March 2026, upgraded to [ICRA]A- (Stable) in June 2026.</w:t>
      </w:r>
    </w:p>
    <w:p>
      <w:pPr>
        <w:spacing w:after="160"/>
      </w:pPr>
      <w:r>
        <w:rPr>
          <w:b/>
          <w:bCs/>
          <w:sz w:val="21"/>
          <w:szCs w:val="21"/>
        </w:rPr>
        <w:t xml:space="preserve">Why it matters.</w:t>
      </w:r>
      <w:r>
        <w:rPr>
          <w:sz w:val="21"/>
          <w:szCs w:val="21"/>
        </w:rPr>
        <w:t xml:space="preserve"> "Assigned" means a first-time rating. A first-time rating cannot have a previous rated amount or a three-year history. The report asserted two incompatible things about its own subject.</w:t>
      </w:r>
    </w:p>
    <w:p>
      <w:pPr>
        <w:spacing w:after="160"/>
      </w:pPr>
      <w:r>
        <w:rPr>
          <w:b/>
          <w:bCs/>
          <w:sz w:val="21"/>
          <w:szCs w:val="21"/>
        </w:rPr>
        <w:t xml:space="preserve">Correction applied.</w:t>
      </w:r>
      <w:r>
        <w:rPr>
          <w:sz w:val="21"/>
          <w:szCs w:val="21"/>
        </w:rPr>
        <w:t xml:space="preserve"> The action is now </w:t>
      </w:r>
      <w:r>
        <w:rPr>
          <w:b/>
          <w:bCs/>
          <w:sz w:val="21"/>
          <w:szCs w:val="21"/>
        </w:rPr>
        <w:t xml:space="preserve">reaffirmed</w:t>
      </w:r>
      <w:r>
        <w:rPr>
          <w:sz w:val="21"/>
          <w:szCs w:val="21"/>
        </w:rPr>
        <w:t xml:space="preserve">, which is what it is: the last rating outstanding is [ICRA]A- (Stable) from ICRA's action of 02 June 2026, and this exercise reaches the same level on the same amount. The Summary table now shows Rs. 727.00 crore in both the previous and current columns, consistent with a reaffirmation. ICRA's June action — which both upgraded the rating </w:t>
      </w:r>
      <w:r>
        <w:rPr>
          <w:i/>
          <w:iCs/>
          <w:sz w:val="21"/>
          <w:szCs w:val="21"/>
        </w:rPr>
        <w:t xml:space="preserve">and</w:t>
      </w:r>
      <w:r>
        <w:rPr>
          <w:sz w:val="21"/>
          <w:szCs w:val="21"/>
        </w:rPr>
        <w:t xml:space="preserve"> reduced the amount from Rs. 2,327.00 crore — is reproduced verbatim with its date in the Rating history section, where it belongs, so the five-condition amendment is still satisfied.</w:t>
      </w:r>
    </w:p>
    <w:p>
      <w:pPr>
        <w:spacing w:after="160"/>
      </w:pPr>
      <w:r>
        <w:rPr>
          <w:b/>
          <w:bCs/>
          <w:sz w:val="21"/>
          <w:szCs w:val="21"/>
        </w:rPr>
        <w:t xml:space="preserve">A regression this introduced, and its fix.</w:t>
      </w:r>
      <w:r>
        <w:rPr>
          <w:sz w:val="21"/>
          <w:szCs w:val="21"/>
        </w:rPr>
        <w:t xml:space="preserve"> The rewrite separated the CRA-attribution phrase from its date, and the failure-mode-14 probe caught it immediately. The date is now stamped beside the attribution. </w:t>
      </w:r>
      <w:r>
        <w:rPr>
          <w:i/>
          <w:iCs/>
          <w:sz w:val="21"/>
          <w:szCs w:val="21"/>
        </w:rPr>
        <w:t xml:space="preserve">This is the value of the gate: the correction was itself checked.</w:t>
      </w:r>
    </w:p>
    <w:p>
      <w:pPr>
        <w:pBdr>
          <w:bottom w:val="single" w:color="C7D0DE" w:sz="6" w:space="4"/>
        </w:pBdr>
        <w:spacing w:after="200"/>
      </w:pPr>
    </w:p>
    <w:p>
      <w:pPr>
        <w:pStyle w:val="Heading2"/>
        <w:spacing w:after="120" w:before="260"/>
      </w:pPr>
      <w:r>
        <w:rPr>
          <w:b/>
          <w:bCs/>
          <w:color w:val="1B2A4A"/>
          <w:sz w:val="24"/>
          <w:szCs w:val="24"/>
        </w:rPr>
        <w:t xml:space="preserve">4. Finding 2 — MATERIAL, CORRECTED: the anchor divergence was overstated</w:t>
      </w:r>
    </w:p>
    <w:p>
      <w:pPr>
        <w:spacing w:after="160"/>
      </w:pPr>
      <w:r>
        <w:rPr>
          <w:b/>
          <w:bCs/>
          <w:sz w:val="21"/>
          <w:szCs w:val="21"/>
        </w:rPr>
        <w:t xml:space="preserve">What was wrong.</w:t>
      </w:r>
      <w:r>
        <w:rPr>
          <w:sz w:val="21"/>
          <w:szCs w:val="21"/>
        </w:rPr>
        <w:t xml:space="preserve"> The workpaper stated, twice, that the divergence between the scorecard anchor (B-) and the rating view (A-) was </w:t>
      </w:r>
      <w:r>
        <w:rPr>
          <w:b/>
          <w:bCs/>
          <w:sz w:val="21"/>
          <w:szCs w:val="21"/>
        </w:rPr>
        <w:t xml:space="preserve">12 notches</w:t>
      </w:r>
      <w:r>
        <w:rPr>
          <w:sz w:val="21"/>
          <w:szCs w:val="21"/>
        </w:rPr>
        <w:t xml:space="preserve">. I also reported 12 to you in conversation.</w:t>
      </w:r>
    </w:p>
    <w:p>
      <w:pPr>
        <w:spacing w:after="160"/>
      </w:pPr>
      <w:r>
        <w:rPr>
          <w:b/>
          <w:bCs/>
          <w:sz w:val="21"/>
          <w:szCs w:val="21"/>
        </w:rPr>
        <w:t xml:space="preserve">The correct figure is 9.</w:t>
      </w:r>
      <w:r>
        <w:rPr>
          <w:sz w:val="21"/>
          <w:szCs w:val="21"/>
        </w:rPr>
        <w:t xml:space="preserve"> On the workbook's own 17-notch scale — AAA, AA+, AA, AA-, A+, A, A-, BBB+, BBB, BBB-, BB+, BB, BB-, B+, B, B- , C — A- is index 6 and B- is index 15. The difference is 9.</w:t>
      </w:r>
    </w:p>
    <w:p>
      <w:pPr>
        <w:spacing w:after="160"/>
      </w:pPr>
      <w:r>
        <w:rPr>
          <w:b/>
          <w:bCs/>
          <w:sz w:val="21"/>
          <w:szCs w:val="21"/>
        </w:rPr>
        <w:t xml:space="preserve">Correction applied.</w:t>
      </w:r>
      <w:r>
        <w:rPr>
          <w:sz w:val="21"/>
          <w:szCs w:val="21"/>
        </w:rPr>
        <w:t xml:space="preserve"> Both occurrences now read 9 notches and state the index arithmetic so the figure can be checked at a glance.</w:t>
      </w:r>
    </w:p>
    <w:p>
      <w:pPr>
        <w:spacing w:after="160"/>
      </w:pPr>
      <w:r>
        <w:rPr>
          <w:b/>
          <w:bCs/>
          <w:sz w:val="21"/>
          <w:szCs w:val="21"/>
        </w:rPr>
        <w:t xml:space="preserve">Assessment of consequence.</w:t>
      </w:r>
      <w:r>
        <w:rPr>
          <w:sz w:val="21"/>
          <w:szCs w:val="21"/>
        </w:rPr>
        <w:t xml:space="preserve"> None on the rating. The divergence is far outside the ±2 screening band at either figure, and the resolution — that the whole distance is the support case the scorecard cannot see — is unchanged. But it was a wrong number in a delivered document, and it was wrong in the direction that made my own analysis sound more dramatic.</w:t>
      </w:r>
    </w:p>
    <w:p>
      <w:pPr>
        <w:pBdr>
          <w:bottom w:val="single" w:color="C7D0DE" w:sz="6" w:space="4"/>
        </w:pBdr>
        <w:spacing w:after="200"/>
      </w:pPr>
    </w:p>
    <w:p>
      <w:pPr>
        <w:pStyle w:val="Heading2"/>
        <w:spacing w:after="120" w:before="260"/>
      </w:pPr>
      <w:r>
        <w:rPr>
          <w:b/>
          <w:bCs/>
          <w:color w:val="1B2A4A"/>
          <w:sz w:val="24"/>
          <w:szCs w:val="24"/>
        </w:rPr>
        <w:t xml:space="preserve">5. The Vodafone Idea rating — audit of the conclusion itself</w:t>
      </w:r>
    </w:p>
    <w:p>
      <w:pPr>
        <w:spacing w:after="160"/>
      </w:pPr>
      <w:r>
        <w:rPr>
          <w:b/>
          <w:bCs/>
          <w:sz w:val="21"/>
          <w:szCs w:val="21"/>
        </w:rPr>
        <w:t xml:space="preserve">Rating: [ICRA]A- (Stable), reaffirmed, on Rs. 727.00 crore of long-term fund-based term loans.</w:t>
      </w:r>
      <w:r>
        <w:rPr>
          <w:sz w:val="21"/>
          <w:szCs w:val="21"/>
        </w:rPr>
        <w:t xml:space="preserve"> No short-term rating; the rated instrument is a term loan.</w:t>
      </w:r>
    </w:p>
    <w:p>
      <w:pPr>
        <w:pStyle w:val="Heading2"/>
        <w:spacing w:after="120" w:before="260"/>
      </w:pPr>
      <w:r>
        <w:rPr>
          <w:b/>
          <w:bCs/>
          <w:color w:val="1B2A4A"/>
          <w:sz w:val="24"/>
          <w:szCs w:val="24"/>
        </w:rPr>
        <w:t xml:space="preserve">The evidence supporting it</w:t>
      </w:r>
    </w:p>
    <w:tbl>
      <w:tblPr>
        <w:tblW w:type="dxa" w:w="9360"/>
        <w:tblBorders>
          <w:top w:val="single" w:color="C7D0DE" w:sz="4"/>
          <w:left w:val="single" w:color="C7D0DE" w:sz="4"/>
          <w:bottom w:val="single" w:color="C7D0DE" w:sz="4"/>
          <w:right w:val="single" w:color="C7D0DE" w:sz="4"/>
          <w:insideH w:val="single" w:color="C7D0DE" w:sz="4"/>
          <w:insideV w:val="single" w:color="C7D0DE" w:sz="4"/>
        </w:tblBorders>
      </w:tblPr>
      <w:tblGrid>
        <w:gridCol w:w="3120"/>
        <w:gridCol w:w="3120"/>
        <w:gridCol w:w="3120"/>
      </w:tblGrid>
      <w:tr>
        <w:trPr>
          <w:tblHeader/>
        </w:trPr>
        <w:tc>
          <w:tcPr>
            <w:tcW w:type="dxa" w:w="3120"/>
            <w:shd w:fill="1B2A4A" w:val="clear"/>
            <w:tcMar>
              <w:top w:type="dxa" w:w="60"/>
              <w:left w:type="dxa" w:w="100"/>
              <w:bottom w:type="dxa" w:w="60"/>
              <w:right w:type="dxa" w:w="100"/>
            </w:tcMar>
          </w:tcPr>
          <w:p>
            <w:r>
              <w:rPr>
                <w:b/>
                <w:bCs/>
                <w:color w:val="FFFFFF"/>
                <w:sz w:val="19"/>
                <w:szCs w:val="19"/>
              </w:rPr>
              <w:t xml:space="preserve">Element</w:t>
            </w:r>
          </w:p>
        </w:tc>
        <w:tc>
          <w:tcPr>
            <w:tcW w:type="dxa" w:w="3120"/>
            <w:shd w:fill="1B2A4A" w:val="clear"/>
            <w:tcMar>
              <w:top w:type="dxa" w:w="60"/>
              <w:left w:type="dxa" w:w="100"/>
              <w:bottom w:type="dxa" w:w="60"/>
              <w:right w:type="dxa" w:w="100"/>
            </w:tcMar>
          </w:tcPr>
          <w:p>
            <w:r>
              <w:rPr>
                <w:b/>
                <w:bCs/>
                <w:color w:val="FFFFFF"/>
                <w:sz w:val="19"/>
                <w:szCs w:val="19"/>
              </w:rPr>
              <w:t xml:space="preserve">Figure</w:t>
            </w:r>
          </w:p>
        </w:tc>
        <w:tc>
          <w:tcPr>
            <w:tcW w:type="dxa" w:w="3120"/>
            <w:shd w:fill="1B2A4A" w:val="clear"/>
            <w:tcMar>
              <w:top w:type="dxa" w:w="60"/>
              <w:left w:type="dxa" w:w="100"/>
              <w:bottom w:type="dxa" w:w="60"/>
              <w:right w:type="dxa" w:w="100"/>
            </w:tcMar>
          </w:tcPr>
          <w:p>
            <w:r>
              <w:rPr>
                <w:b/>
                <w:bCs/>
                <w:color w:val="FFFFFF"/>
                <w:sz w:val="19"/>
                <w:szCs w:val="19"/>
              </w:rPr>
              <w:t xml:space="preserve">Verified against</w:t>
            </w:r>
          </w:p>
        </w:tc>
      </w:tr>
      <w:tr>
        <w:tc>
          <w:tcPr>
            <w:tcW w:type="dxa" w:w="3120"/>
            <w:shd w:fill="FFFFFF" w:val="clear"/>
            <w:tcMar>
              <w:top w:type="dxa" w:w="60"/>
              <w:left w:type="dxa" w:w="100"/>
              <w:bottom w:type="dxa" w:w="60"/>
              <w:right w:type="dxa" w:w="100"/>
            </w:tcMar>
          </w:tcPr>
          <w:p>
            <w:r>
              <w:rPr>
                <w:b w:val="false"/>
                <w:bCs w:val="false"/>
                <w:sz w:val="19"/>
                <w:szCs w:val="19"/>
              </w:rPr>
              <w:t xml:space="preserve">Interest coverage FY2026</w:t>
            </w:r>
          </w:p>
        </w:tc>
        <w:tc>
          <w:tcPr>
            <w:tcW w:type="dxa" w:w="3120"/>
            <w:shd w:fill="FFFFFF" w:val="clear"/>
            <w:tcMar>
              <w:top w:type="dxa" w:w="60"/>
              <w:left w:type="dxa" w:w="100"/>
              <w:bottom w:type="dxa" w:w="60"/>
              <w:right w:type="dxa" w:w="100"/>
            </w:tcMar>
          </w:tcPr>
          <w:p>
            <w:r>
              <w:rPr>
                <w:b w:val="false"/>
                <w:bCs w:val="false"/>
                <w:sz w:val="19"/>
                <w:szCs w:val="19"/>
              </w:rPr>
              <w:t xml:space="preserve">0.88 times</w:t>
            </w:r>
          </w:p>
        </w:tc>
        <w:tc>
          <w:tcPr>
            <w:tcW w:type="dxa" w:w="3120"/>
            <w:shd w:fill="FFFFFF" w:val="clear"/>
            <w:tcMar>
              <w:top w:type="dxa" w:w="60"/>
              <w:left w:type="dxa" w:w="100"/>
              <w:bottom w:type="dxa" w:w="60"/>
              <w:right w:type="dxa" w:w="100"/>
            </w:tcMar>
          </w:tcPr>
          <w:p>
            <w:r>
              <w:rPr>
                <w:b w:val="false"/>
                <w:bCs w:val="false"/>
                <w:sz w:val="19"/>
                <w:szCs w:val="19"/>
              </w:rPr>
              <w:t xml:space="preserve">Engine; consolidated P&amp;L</w:t>
            </w:r>
          </w:p>
        </w:tc>
      </w:tr>
      <w:tr>
        <w:tc>
          <w:tcPr>
            <w:tcW w:type="dxa" w:w="3120"/>
            <w:shd w:fill="F4F6F9" w:val="clear"/>
            <w:tcMar>
              <w:top w:type="dxa" w:w="60"/>
              <w:left w:type="dxa" w:w="100"/>
              <w:bottom w:type="dxa" w:w="60"/>
              <w:right w:type="dxa" w:w="100"/>
            </w:tcMar>
          </w:tcPr>
          <w:p>
            <w:r>
              <w:rPr>
                <w:b w:val="false"/>
                <w:bCs w:val="false"/>
                <w:sz w:val="19"/>
                <w:szCs w:val="19"/>
              </w:rPr>
              <w:t xml:space="preserve">Total debt / OPBDIT</w:t>
            </w:r>
          </w:p>
        </w:tc>
        <w:tc>
          <w:tcPr>
            <w:tcW w:type="dxa" w:w="3120"/>
            <w:shd w:fill="F4F6F9" w:val="clear"/>
            <w:tcMar>
              <w:top w:type="dxa" w:w="60"/>
              <w:left w:type="dxa" w:w="100"/>
              <w:bottom w:type="dxa" w:w="60"/>
              <w:right w:type="dxa" w:w="100"/>
            </w:tcMar>
          </w:tcPr>
          <w:p>
            <w:r>
              <w:rPr>
                <w:b w:val="false"/>
                <w:bCs w:val="false"/>
                <w:sz w:val="19"/>
                <w:szCs w:val="19"/>
              </w:rPr>
              <w:t xml:space="preserve">10.13 times</w:t>
            </w:r>
          </w:p>
        </w:tc>
        <w:tc>
          <w:tcPr>
            <w:tcW w:type="dxa" w:w="3120"/>
            <w:shd w:fill="F4F6F9" w:val="clear"/>
            <w:tcMar>
              <w:top w:type="dxa" w:w="60"/>
              <w:left w:type="dxa" w:w="100"/>
              <w:bottom w:type="dxa" w:w="60"/>
              <w:right w:type="dxa" w:w="100"/>
            </w:tcMar>
          </w:tcPr>
          <w:p>
            <w:r>
              <w:rPr>
                <w:b w:val="false"/>
                <w:bCs w:val="false"/>
                <w:sz w:val="19"/>
                <w:szCs w:val="19"/>
              </w:rPr>
              <w:t xml:space="preserve">Engine</w:t>
            </w:r>
          </w:p>
        </w:tc>
      </w:tr>
      <w:tr>
        <w:tc>
          <w:tcPr>
            <w:tcW w:type="dxa" w:w="3120"/>
            <w:shd w:fill="FFFFFF" w:val="clear"/>
            <w:tcMar>
              <w:top w:type="dxa" w:w="60"/>
              <w:left w:type="dxa" w:w="100"/>
              <w:bottom w:type="dxa" w:w="60"/>
              <w:right w:type="dxa" w:w="100"/>
            </w:tcMar>
          </w:tcPr>
          <w:p>
            <w:r>
              <w:rPr>
                <w:b w:val="false"/>
                <w:bCs w:val="false"/>
                <w:sz w:val="19"/>
                <w:szCs w:val="19"/>
              </w:rPr>
              <w:t xml:space="preserve">Net worth</w:t>
            </w:r>
          </w:p>
        </w:tc>
        <w:tc>
          <w:tcPr>
            <w:tcW w:type="dxa" w:w="3120"/>
            <w:shd w:fill="FFFFFF" w:val="clear"/>
            <w:tcMar>
              <w:top w:type="dxa" w:w="60"/>
              <w:left w:type="dxa" w:w="100"/>
              <w:bottom w:type="dxa" w:w="60"/>
              <w:right w:type="dxa" w:w="100"/>
            </w:tcMar>
          </w:tcPr>
          <w:p>
            <w:r>
              <w:rPr>
                <w:b w:val="false"/>
                <w:bCs w:val="false"/>
                <w:sz w:val="19"/>
                <w:szCs w:val="19"/>
              </w:rPr>
              <w:t xml:space="preserve">Negative Rs. 35,758 crore</w:t>
            </w:r>
          </w:p>
        </w:tc>
        <w:tc>
          <w:tcPr>
            <w:tcW w:type="dxa" w:w="3120"/>
            <w:shd w:fill="FFFFFF" w:val="clear"/>
            <w:tcMar>
              <w:top w:type="dxa" w:w="60"/>
              <w:left w:type="dxa" w:w="100"/>
              <w:bottom w:type="dxa" w:w="60"/>
              <w:right w:type="dxa" w:w="100"/>
            </w:tcMar>
          </w:tcPr>
          <w:p>
            <w:r>
              <w:rPr>
                <w:b w:val="false"/>
                <w:bCs w:val="false"/>
                <w:sz w:val="19"/>
                <w:szCs w:val="19"/>
              </w:rPr>
              <w:t xml:space="preserve">Consolidated balance sheet</w:t>
            </w:r>
          </w:p>
        </w:tc>
      </w:tr>
      <w:tr>
        <w:tc>
          <w:tcPr>
            <w:tcW w:type="dxa" w:w="3120"/>
            <w:shd w:fill="F4F6F9" w:val="clear"/>
            <w:tcMar>
              <w:top w:type="dxa" w:w="60"/>
              <w:left w:type="dxa" w:w="100"/>
              <w:bottom w:type="dxa" w:w="60"/>
              <w:right w:type="dxa" w:w="100"/>
            </w:tcMar>
          </w:tcPr>
          <w:p>
            <w:r>
              <w:rPr>
                <w:b w:val="false"/>
                <w:bCs w:val="false"/>
                <w:sz w:val="19"/>
                <w:szCs w:val="19"/>
              </w:rPr>
              <w:t xml:space="preserve">Government obligation within total debt</w:t>
            </w:r>
          </w:p>
        </w:tc>
        <w:tc>
          <w:tcPr>
            <w:tcW w:type="dxa" w:w="3120"/>
            <w:shd w:fill="F4F6F9" w:val="clear"/>
            <w:tcMar>
              <w:top w:type="dxa" w:w="60"/>
              <w:left w:type="dxa" w:w="100"/>
              <w:bottom w:type="dxa" w:w="60"/>
              <w:right w:type="dxa" w:w="100"/>
            </w:tcMar>
          </w:tcPr>
          <w:p>
            <w:r>
              <w:rPr>
                <w:b w:val="false"/>
                <w:bCs w:val="false"/>
                <w:sz w:val="19"/>
                <w:szCs w:val="19"/>
              </w:rPr>
              <w:t xml:space="preserve">Rs. 1,45,454 crore of Rs. 1,92,528 crore (76%)</w:t>
            </w:r>
          </w:p>
        </w:tc>
        <w:tc>
          <w:tcPr>
            <w:tcW w:type="dxa" w:w="3120"/>
            <w:shd w:fill="F4F6F9" w:val="clear"/>
            <w:tcMar>
              <w:top w:type="dxa" w:w="60"/>
              <w:left w:type="dxa" w:w="100"/>
              <w:bottom w:type="dxa" w:w="60"/>
              <w:right w:type="dxa" w:w="100"/>
            </w:tcMar>
          </w:tcPr>
          <w:p>
            <w:r>
              <w:rPr>
                <w:b w:val="false"/>
                <w:bCs w:val="false"/>
                <w:sz w:val="19"/>
                <w:szCs w:val="19"/>
              </w:rPr>
              <w:t xml:space="preserve">Directors' Report, tied to notes 22(B) and 26(B)</w:t>
            </w:r>
          </w:p>
        </w:tc>
      </w:tr>
      <w:tr>
        <w:tc>
          <w:tcPr>
            <w:tcW w:type="dxa" w:w="3120"/>
            <w:shd w:fill="FFFFFF" w:val="clear"/>
            <w:tcMar>
              <w:top w:type="dxa" w:w="60"/>
              <w:left w:type="dxa" w:w="100"/>
              <w:bottom w:type="dxa" w:w="60"/>
              <w:right w:type="dxa" w:w="100"/>
            </w:tcMar>
          </w:tcPr>
          <w:p>
            <w:r>
              <w:rPr>
                <w:b w:val="false"/>
                <w:bCs w:val="false"/>
                <w:sz w:val="19"/>
                <w:szCs w:val="19"/>
              </w:rPr>
              <w:t xml:space="preserve">Payable in the first ten years</w:t>
            </w:r>
          </w:p>
        </w:tc>
        <w:tc>
          <w:tcPr>
            <w:tcW w:type="dxa" w:w="3120"/>
            <w:shd w:fill="FFFFFF" w:val="clear"/>
            <w:tcMar>
              <w:top w:type="dxa" w:w="60"/>
              <w:left w:type="dxa" w:w="100"/>
              <w:bottom w:type="dxa" w:w="60"/>
              <w:right w:type="dxa" w:w="100"/>
            </w:tcMar>
          </w:tcPr>
          <w:p>
            <w:r>
              <w:rPr>
                <w:b w:val="false"/>
                <w:bCs w:val="false"/>
                <w:sz w:val="19"/>
                <w:szCs w:val="19"/>
              </w:rPr>
              <w:t xml:space="preserve">Rs. 1,144 crore</w:t>
            </w:r>
          </w:p>
        </w:tc>
        <w:tc>
          <w:tcPr>
            <w:tcW w:type="dxa" w:w="3120"/>
            <w:shd w:fill="FFFFFF" w:val="clear"/>
            <w:tcMar>
              <w:top w:type="dxa" w:w="60"/>
              <w:left w:type="dxa" w:w="100"/>
              <w:bottom w:type="dxa" w:w="60"/>
              <w:right w:type="dxa" w:w="100"/>
            </w:tcMar>
          </w:tcPr>
          <w:p>
            <w:r>
              <w:rPr>
                <w:b w:val="false"/>
                <w:bCs w:val="false"/>
                <w:sz w:val="19"/>
                <w:szCs w:val="19"/>
              </w:rPr>
              <w:t xml:space="preserve">Directors' Report</w:t>
            </w:r>
          </w:p>
        </w:tc>
      </w:tr>
      <w:tr>
        <w:tc>
          <w:tcPr>
            <w:tcW w:type="dxa" w:w="3120"/>
            <w:shd w:fill="F4F6F9" w:val="clear"/>
            <w:tcMar>
              <w:top w:type="dxa" w:w="60"/>
              <w:left w:type="dxa" w:w="100"/>
              <w:bottom w:type="dxa" w:w="60"/>
              <w:right w:type="dxa" w:w="100"/>
            </w:tcMar>
          </w:tcPr>
          <w:p>
            <w:r>
              <w:rPr>
                <w:b w:val="false"/>
                <w:bCs w:val="false"/>
                <w:sz w:val="19"/>
                <w:szCs w:val="19"/>
              </w:rPr>
              <w:t xml:space="preserve">Rated instrument as a share of total debt</w:t>
            </w:r>
          </w:p>
        </w:tc>
        <w:tc>
          <w:tcPr>
            <w:tcW w:type="dxa" w:w="3120"/>
            <w:shd w:fill="F4F6F9" w:val="clear"/>
            <w:tcMar>
              <w:top w:type="dxa" w:w="60"/>
              <w:left w:type="dxa" w:w="100"/>
              <w:bottom w:type="dxa" w:w="60"/>
              <w:right w:type="dxa" w:w="100"/>
            </w:tcMar>
          </w:tcPr>
          <w:p>
            <w:r>
              <w:rPr>
                <w:b w:val="false"/>
                <w:bCs w:val="false"/>
                <w:sz w:val="19"/>
                <w:szCs w:val="19"/>
              </w:rPr>
              <w:t xml:space="preserve">0.4%</w:t>
            </w:r>
          </w:p>
        </w:tc>
        <w:tc>
          <w:tcPr>
            <w:tcW w:type="dxa" w:w="3120"/>
            <w:shd w:fill="F4F6F9" w:val="clear"/>
            <w:tcMar>
              <w:top w:type="dxa" w:w="60"/>
              <w:left w:type="dxa" w:w="100"/>
              <w:bottom w:type="dxa" w:w="60"/>
              <w:right w:type="dxa" w:w="100"/>
            </w:tcMar>
          </w:tcPr>
          <w:p>
            <w:r>
              <w:rPr>
                <w:b w:val="false"/>
                <w:bCs w:val="false"/>
                <w:sz w:val="19"/>
                <w:szCs w:val="19"/>
              </w:rPr>
              <w:t xml:space="preserve">Computed</w:t>
            </w:r>
          </w:p>
        </w:tc>
      </w:tr>
      <w:tr>
        <w:tc>
          <w:tcPr>
            <w:tcW w:type="dxa" w:w="3120"/>
            <w:shd w:fill="FFFFFF" w:val="clear"/>
            <w:tcMar>
              <w:top w:type="dxa" w:w="60"/>
              <w:left w:type="dxa" w:w="100"/>
              <w:bottom w:type="dxa" w:w="60"/>
              <w:right w:type="dxa" w:w="100"/>
            </w:tcMar>
          </w:tcPr>
          <w:p>
            <w:r>
              <w:rPr>
                <w:b w:val="false"/>
                <w:bCs w:val="false"/>
                <w:sz w:val="19"/>
                <w:szCs w:val="19"/>
              </w:rPr>
              <w:t xml:space="preserve">Unencumbered liquidity</w:t>
            </w:r>
          </w:p>
        </w:tc>
        <w:tc>
          <w:tcPr>
            <w:tcW w:type="dxa" w:w="3120"/>
            <w:shd w:fill="FFFFFF" w:val="clear"/>
            <w:tcMar>
              <w:top w:type="dxa" w:w="60"/>
              <w:left w:type="dxa" w:w="100"/>
              <w:bottom w:type="dxa" w:w="60"/>
              <w:right w:type="dxa" w:w="100"/>
            </w:tcMar>
          </w:tcPr>
          <w:p>
            <w:r>
              <w:rPr>
                <w:b w:val="false"/>
                <w:bCs w:val="false"/>
                <w:sz w:val="19"/>
                <w:szCs w:val="19"/>
              </w:rPr>
              <w:t xml:space="preserve">Rs. 3,608 crore</w:t>
            </w:r>
          </w:p>
        </w:tc>
        <w:tc>
          <w:tcPr>
            <w:tcW w:type="dxa" w:w="3120"/>
            <w:shd w:fill="FFFFFF" w:val="clear"/>
            <w:tcMar>
              <w:top w:type="dxa" w:w="60"/>
              <w:left w:type="dxa" w:w="100"/>
              <w:bottom w:type="dxa" w:w="60"/>
              <w:right w:type="dxa" w:w="100"/>
            </w:tcMar>
          </w:tcPr>
          <w:p>
            <w:r>
              <w:rPr>
                <w:b w:val="false"/>
                <w:bCs w:val="false"/>
                <w:sz w:val="19"/>
                <w:szCs w:val="19"/>
              </w:rPr>
              <w:t xml:space="preserve">Company's own stated basis</w:t>
            </w:r>
          </w:p>
        </w:tc>
      </w:tr>
      <w:tr>
        <w:tc>
          <w:tcPr>
            <w:tcW w:type="dxa" w:w="3120"/>
            <w:shd w:fill="F4F6F9" w:val="clear"/>
            <w:tcMar>
              <w:top w:type="dxa" w:w="60"/>
              <w:left w:type="dxa" w:w="100"/>
              <w:bottom w:type="dxa" w:w="60"/>
              <w:right w:type="dxa" w:w="100"/>
            </w:tcMar>
          </w:tcPr>
          <w:p>
            <w:r>
              <w:rPr>
                <w:b w:val="false"/>
                <w:bCs w:val="false"/>
                <w:sz w:val="19"/>
                <w:szCs w:val="19"/>
              </w:rPr>
              <w:t xml:space="preserve">Operating cash flow FY2026</w:t>
            </w:r>
          </w:p>
        </w:tc>
        <w:tc>
          <w:tcPr>
            <w:tcW w:type="dxa" w:w="3120"/>
            <w:shd w:fill="F4F6F9" w:val="clear"/>
            <w:tcMar>
              <w:top w:type="dxa" w:w="60"/>
              <w:left w:type="dxa" w:w="100"/>
              <w:bottom w:type="dxa" w:w="60"/>
              <w:right w:type="dxa" w:w="100"/>
            </w:tcMar>
          </w:tcPr>
          <w:p>
            <w:r>
              <w:rPr>
                <w:b w:val="false"/>
                <w:bCs w:val="false"/>
                <w:sz w:val="19"/>
                <w:szCs w:val="19"/>
              </w:rPr>
              <w:t xml:space="preserve">Rs. 19,411 crore</w:t>
            </w:r>
          </w:p>
        </w:tc>
        <w:tc>
          <w:tcPr>
            <w:tcW w:type="dxa" w:w="3120"/>
            <w:shd w:fill="F4F6F9" w:val="clear"/>
            <w:tcMar>
              <w:top w:type="dxa" w:w="60"/>
              <w:left w:type="dxa" w:w="100"/>
              <w:bottom w:type="dxa" w:w="60"/>
              <w:right w:type="dxa" w:w="100"/>
            </w:tcMar>
          </w:tcPr>
          <w:p>
            <w:r>
              <w:rPr>
                <w:b w:val="false"/>
                <w:bCs w:val="false"/>
                <w:sz w:val="19"/>
                <w:szCs w:val="19"/>
              </w:rPr>
              <w:t xml:space="preserve">Consolidated cash-flow statement</w:t>
            </w:r>
          </w:p>
        </w:tc>
      </w:tr>
      <w:tr>
        <w:tc>
          <w:tcPr>
            <w:tcW w:type="dxa" w:w="3120"/>
            <w:shd w:fill="FFFFFF" w:val="clear"/>
            <w:tcMar>
              <w:top w:type="dxa" w:w="60"/>
              <w:left w:type="dxa" w:w="100"/>
              <w:bottom w:type="dxa" w:w="60"/>
              <w:right w:type="dxa" w:w="100"/>
            </w:tcMar>
          </w:tcPr>
          <w:p>
            <w:r>
              <w:rPr>
                <w:b w:val="false"/>
                <w:bCs w:val="false"/>
                <w:sz w:val="19"/>
                <w:szCs w:val="19"/>
              </w:rPr>
              <w:t xml:space="preserve">Government shareholding</w:t>
            </w:r>
          </w:p>
        </w:tc>
        <w:tc>
          <w:tcPr>
            <w:tcW w:type="dxa" w:w="3120"/>
            <w:shd w:fill="FFFFFF" w:val="clear"/>
            <w:tcMar>
              <w:top w:type="dxa" w:w="60"/>
              <w:left w:type="dxa" w:w="100"/>
              <w:bottom w:type="dxa" w:w="60"/>
              <w:right w:type="dxa" w:w="100"/>
            </w:tcMar>
          </w:tcPr>
          <w:p>
            <w:r>
              <w:rPr>
                <w:b w:val="false"/>
                <w:bCs w:val="false"/>
                <w:sz w:val="19"/>
                <w:szCs w:val="19"/>
              </w:rPr>
              <w:t xml:space="preserve">49.00%</w:t>
            </w:r>
          </w:p>
        </w:tc>
        <w:tc>
          <w:tcPr>
            <w:tcW w:type="dxa" w:w="3120"/>
            <w:shd w:fill="FFFFFF" w:val="clear"/>
            <w:tcMar>
              <w:top w:type="dxa" w:w="60"/>
              <w:left w:type="dxa" w:w="100"/>
              <w:bottom w:type="dxa" w:w="60"/>
              <w:right w:type="dxa" w:w="100"/>
            </w:tcMar>
          </w:tcPr>
          <w:p>
            <w:r>
              <w:rPr>
                <w:b w:val="false"/>
                <w:bCs w:val="false"/>
                <w:sz w:val="19"/>
                <w:szCs w:val="19"/>
              </w:rPr>
              <w:t xml:space="preserve">Note 4, five occurrences</w:t>
            </w:r>
          </w:p>
        </w:tc>
      </w:tr>
      <w:tr>
        <w:tc>
          <w:tcPr>
            <w:tcW w:type="dxa" w:w="3120"/>
            <w:shd w:fill="F4F6F9" w:val="clear"/>
            <w:tcMar>
              <w:top w:type="dxa" w:w="60"/>
              <w:left w:type="dxa" w:w="100"/>
              <w:bottom w:type="dxa" w:w="60"/>
              <w:right w:type="dxa" w:w="100"/>
            </w:tcMar>
          </w:tcPr>
          <w:p>
            <w:r>
              <w:rPr>
                <w:b w:val="false"/>
                <w:bCs w:val="false"/>
                <w:sz w:val="19"/>
                <w:szCs w:val="19"/>
              </w:rPr>
              <w:t xml:space="preserve">Support demonstrated three times</w:t>
            </w:r>
          </w:p>
        </w:tc>
        <w:tc>
          <w:tcPr>
            <w:tcW w:type="dxa" w:w="3120"/>
            <w:shd w:fill="F4F6F9" w:val="clear"/>
            <w:tcMar>
              <w:top w:type="dxa" w:w="60"/>
              <w:left w:type="dxa" w:w="100"/>
              <w:bottom w:type="dxa" w:w="60"/>
              <w:right w:type="dxa" w:w="100"/>
            </w:tcMar>
          </w:tcPr>
          <w:p>
            <w:r>
              <w:rPr>
                <w:b w:val="false"/>
                <w:bCs w:val="false"/>
                <w:sz w:val="19"/>
                <w:szCs w:val="19"/>
              </w:rPr>
              <w:t xml:space="preserve">Rs. 16,133 cr (Feb-2023), Rs. 36,950 cr (Apr-2025), AGR cut 27% and deferred</w:t>
            </w:r>
          </w:p>
        </w:tc>
        <w:tc>
          <w:tcPr>
            <w:tcW w:type="dxa" w:w="3120"/>
            <w:shd w:fill="F4F6F9" w:val="clear"/>
            <w:tcMar>
              <w:top w:type="dxa" w:w="60"/>
              <w:left w:type="dxa" w:w="100"/>
              <w:bottom w:type="dxa" w:w="60"/>
              <w:right w:type="dxa" w:w="100"/>
            </w:tcMar>
          </w:tcPr>
          <w:p>
            <w:r>
              <w:rPr>
                <w:b w:val="false"/>
                <w:bCs w:val="false"/>
                <w:sz w:val="19"/>
                <w:szCs w:val="19"/>
              </w:rPr>
              <w:t xml:space="preserve">Notes 3 and 4</w:t>
            </w:r>
          </w:p>
        </w:tc>
      </w:tr>
    </w:tbl>
    <w:p>
      <w:pPr>
        <w:spacing w:after="200"/>
      </w:pPr>
    </w:p>
    <w:p>
      <w:pPr>
        <w:pStyle w:val="Heading2"/>
        <w:spacing w:after="120" w:before="260"/>
      </w:pPr>
      <w:r>
        <w:rPr>
          <w:b/>
          <w:bCs/>
          <w:color w:val="1B2A4A"/>
          <w:sz w:val="24"/>
          <w:szCs w:val="24"/>
        </w:rPr>
        <w:t xml:space="preserve">The audit's view of the judgment</w:t>
      </w:r>
    </w:p>
    <w:p>
      <w:pPr>
        <w:spacing w:after="160"/>
      </w:pPr>
      <w:r>
        <w:rPr>
          <w:sz w:val="21"/>
          <w:szCs w:val="21"/>
        </w:rPr>
        <w:t xml:space="preserve">The grade rests on a weak standalone profile lifted by demonstrated Government and promoter support. </w:t>
      </w:r>
      <w:r>
        <w:rPr>
          <w:b/>
          <w:bCs/>
          <w:sz w:val="21"/>
          <w:szCs w:val="21"/>
        </w:rPr>
        <w:t xml:space="preserve">That reasoning is defensible and is fully disclosed</w:t>
      </w:r>
      <w:r>
        <w:rPr>
          <w:sz w:val="21"/>
          <w:szCs w:val="21"/>
        </w:rPr>
        <w:t xml:space="preserve">, including the constraint that limits it: the 49% holding is deliberately below majority, no management control has been taken, and no debt is guaranteed. The methodology's own footnote 4 — which allows weak metrics to coexist with low assessed credit risk where a strong promoter group will extend distress support — is quoted in the workpaper rather than paraphrased.</w:t>
      </w:r>
    </w:p>
    <w:p>
      <w:pPr>
        <w:spacing w:after="160"/>
      </w:pPr>
      <w:r>
        <w:rPr>
          <w:b/>
          <w:bCs/>
          <w:sz w:val="21"/>
          <w:szCs w:val="21"/>
        </w:rPr>
        <w:t xml:space="preserve">Two features of this case deserve explicit acknowledgement as weaknesses of the conclusion, not strengths:</w:t>
      </w:r>
    </w:p>
    <w:p>
      <w:pPr>
        <w:spacing w:after="160"/>
      </w:pPr>
      <w:r>
        <w:rPr>
          <w:sz w:val="21"/>
          <w:szCs w:val="21"/>
        </w:rPr>
        <w:t xml:space="preserve">1. </w:t>
      </w:r>
      <w:r>
        <w:rPr>
          <w:b/>
          <w:bCs/>
          <w:sz w:val="21"/>
          <w:szCs w:val="21"/>
        </w:rPr>
        <w:t xml:space="preserve">The forward model does not show deleveraging.</w:t>
      </w:r>
      <w:r>
        <w:rPr>
          <w:sz w:val="21"/>
          <w:szCs w:val="21"/>
        </w:rPr>
        <w:t xml:space="preserve"> In the base case total debt rises every year to FY2031 and interest coverage stalls near 1.3 times. In the stress case coverage falls back below 1.0 times by FY2029. The rating is not supported by a projected recovery in the credit metrics; it is supported by the smallness of the rated obligation and by the identity of the principal creditor.</w:t>
      </w:r>
    </w:p>
    <w:p>
      <w:pPr>
        <w:spacing w:after="160"/>
      </w:pPr>
      <w:r>
        <w:rPr>
          <w:sz w:val="21"/>
          <w:szCs w:val="21"/>
        </w:rPr>
        <w:t xml:space="preserve">2. </w:t>
      </w:r>
      <w:r>
        <w:rPr>
          <w:b/>
          <w:bCs/>
          <w:sz w:val="21"/>
          <w:szCs w:val="21"/>
        </w:rPr>
        <w:t xml:space="preserve">The largest obligation sits outside the forecast window.</w:t>
      </w:r>
      <w:r>
        <w:rPr>
          <w:sz w:val="21"/>
          <w:szCs w:val="21"/>
        </w:rPr>
        <w:t xml:space="preserve"> Rs. 10,608 crore a year from FY2036 is 37% of base-case FY2031 operating profit. The analysis says so plainly, but no five-year model can test it.</w:t>
      </w:r>
    </w:p>
    <w:p>
      <w:pPr>
        <w:pBdr>
          <w:bottom w:val="single" w:color="C7D0DE" w:sz="6" w:space="4"/>
        </w:pBdr>
        <w:spacing w:after="200"/>
      </w:pPr>
    </w:p>
    <w:p>
      <w:pPr>
        <w:pStyle w:val="Heading2"/>
        <w:spacing w:after="120" w:before="260"/>
      </w:pPr>
      <w:r>
        <w:rPr>
          <w:b/>
          <w:bCs/>
          <w:color w:val="1B2A4A"/>
          <w:sz w:val="24"/>
          <w:szCs w:val="24"/>
        </w:rPr>
        <w:t xml:space="preserve">6. Audit of the two toolchain fixes</w:t>
      </w:r>
    </w:p>
    <w:p>
      <w:pPr>
        <w:pStyle w:val="Heading2"/>
        <w:spacing w:after="120" w:before="260"/>
      </w:pPr>
      <w:r>
        <w:rPr>
          <w:b/>
          <w:bCs/>
          <w:color w:val="1B2A4A"/>
          <w:sz w:val="24"/>
          <w:szCs w:val="24"/>
        </w:rPr>
        <w:t xml:space="preserve">6.1 Webapp output discovery</w:t>
      </w:r>
    </w:p>
    <w:p>
      <w:pPr>
        <w:spacing w:after="160"/>
      </w:pPr>
      <w:r>
        <w:rPr>
          <w:b/>
          <w:bCs/>
          <w:sz w:val="21"/>
          <w:szCs w:val="21"/>
        </w:rPr>
        <w:t xml:space="preserve">Defect.</w:t>
      </w:r>
      <w:r>
        <w:rPr>
          <w:sz w:val="21"/>
          <w:szCs w:val="21"/>
        </w:rPr>
        <w:t xml:space="preserve"> Vodafone Idea's rating rationale did not appear in the tool. The case is registered as "Vi" while the deliverable is filed under the legal name; files in the shared project root are matched by name, and "Vi" does not appear in "Vodafone Idea Limited". Separately, </w:t>
      </w:r>
      <w:r>
        <w:rPr>
          <w:rFonts w:ascii="Consolas" w:cs="Consolas" w:eastAsia="Consolas" w:hAnsi="Consolas"/>
          <w:sz w:val="21"/>
          <w:szCs w:val="21"/>
        </w:rPr>
        <w:t xml:space="preserve">.py</w:t>
      </w:r>
      <w:r>
        <w:rPr>
          <w:sz w:val="21"/>
          <w:szCs w:val="21"/>
        </w:rPr>
        <w:t xml:space="preserve"> was not a recognised extension, so the ratio engine, forecast model and scorecard builder were invisible for every case.</w:t>
      </w:r>
    </w:p>
    <w:p>
      <w:pPr>
        <w:spacing w:after="160"/>
      </w:pPr>
      <w:r>
        <w:rPr>
          <w:b/>
          <w:bCs/>
          <w:sz w:val="21"/>
          <w:szCs w:val="21"/>
        </w:rPr>
        <w:t xml:space="preserve">Fix and its evidence.</w:t>
      </w:r>
      <w:r>
        <w:rPr>
          <w:sz w:val="21"/>
          <w:szCs w:val="21"/>
        </w:rPr>
        <w:t xml:space="preserve"> Names are now also derived from the case folder's own deliverables — safe by construction, since a file in the case folder belongs to that case. Regression-tested by snapshotting all 27 cases before and after: </w:t>
      </w:r>
      <w:r>
        <w:rPr>
          <w:b/>
          <w:bCs/>
          <w:sz w:val="21"/>
          <w:szCs w:val="21"/>
        </w:rPr>
        <w:t xml:space="preserve">zero outputs lost, and no root file claimed by two different companies.</w:t>
      </w:r>
      <w:r>
        <w:rPr>
          <w:sz w:val="21"/>
          <w:szCs w:val="21"/>
        </w:rPr>
        <w:t xml:space="preserve"> Vi went from 2 outputs to 6; </w:t>
      </w:r>
      <w:r>
        <w:rPr>
          <w:b/>
          <w:bCs/>
          <w:sz w:val="21"/>
          <w:szCs w:val="21"/>
        </w:rPr>
        <w:t xml:space="preserve">SBI's rationale and PDF, which were also missing, are now visible.</w:t>
      </w:r>
    </w:p>
    <w:p>
      <w:pPr>
        <w:spacing w:after="160"/>
      </w:pPr>
      <w:r>
        <w:rPr>
          <w:b/>
          <w:bCs/>
          <w:sz w:val="21"/>
          <w:szCs w:val="21"/>
        </w:rPr>
        <w:t xml:space="preserve">Two defects in my own fix, both caught by that regression test:</w:t>
      </w:r>
      <w:r>
        <w:rPr>
          <w:sz w:val="21"/>
          <w:szCs w:val="21"/>
        </w:rPr>
        <w:t xml:space="preserve"> </w:t>
      </w:r>
      <w:r>
        <w:rPr>
          <w:rFonts w:ascii="Consolas" w:cs="Consolas" w:eastAsia="Consolas" w:hAnsi="Consolas"/>
          <w:sz w:val="21"/>
          <w:szCs w:val="21"/>
        </w:rPr>
        <w:t xml:space="preserve">build_spreads.py</w:t>
      </w:r>
      <w:r>
        <w:rPr>
          <w:sz w:val="21"/>
          <w:szCs w:val="21"/>
        </w:rPr>
        <w:t xml:space="preserve"> was being labelled "Rating Rationale", and the name derivation was picking up "company context" from </w:t>
      </w:r>
      <w:r>
        <w:rPr>
          <w:rFonts w:ascii="Consolas" w:cs="Consolas" w:eastAsia="Consolas" w:hAnsi="Consolas"/>
          <w:sz w:val="21"/>
          <w:szCs w:val="21"/>
        </w:rPr>
        <w:t xml:space="preserve">COMPANY_CONTEXT.md</w:t>
      </w:r>
      <w:r>
        <w:rPr>
          <w:sz w:val="21"/>
          <w:szCs w:val="21"/>
        </w:rPr>
        <w:t xml:space="preserve">. Both corrected.</w:t>
      </w:r>
    </w:p>
    <w:p>
      <w:pPr>
        <w:pStyle w:val="Heading2"/>
        <w:spacing w:after="120" w:before="260"/>
      </w:pPr>
      <w:r>
        <w:rPr>
          <w:b/>
          <w:bCs/>
          <w:color w:val="1B2A4A"/>
          <w:sz w:val="24"/>
          <w:szCs w:val="24"/>
        </w:rPr>
        <w:t xml:space="preserve">6.2 Scorecard cached values</w:t>
      </w:r>
    </w:p>
    <w:p>
      <w:pPr>
        <w:spacing w:after="160"/>
      </w:pPr>
      <w:r>
        <w:rPr>
          <w:b/>
          <w:bCs/>
          <w:sz w:val="21"/>
          <w:szCs w:val="21"/>
        </w:rPr>
        <w:t xml:space="preserve">Defect.</w:t>
      </w:r>
      <w:r>
        <w:rPr>
          <w:sz w:val="21"/>
          <w:szCs w:val="21"/>
        </w:rPr>
        <w:t xml:space="preserve"> openpyxl cannot evaluate formulas, and on save it writes each formula cell as </w:t>
      </w:r>
      <w:r>
        <w:rPr>
          <w:rFonts w:ascii="Consolas" w:cs="Consolas" w:eastAsia="Consolas" w:hAnsi="Consolas"/>
          <w:sz w:val="21"/>
          <w:szCs w:val="21"/>
        </w:rPr>
        <w:t xml:space="preserve">&lt;f&gt;…&lt;/f&gt;&lt;v&gt;&lt;/v&gt;</w:t>
      </w:r>
      <w:r>
        <w:rPr>
          <w:sz w:val="21"/>
          <w:szCs w:val="21"/>
        </w:rPr>
        <w:t xml:space="preserve"> — formula preserved, cached result empty. Excel hides this by recalculating on load. Nothing else does. </w:t>
      </w:r>
      <w:r>
        <w:rPr>
          <w:b/>
          <w:bCs/>
          <w:sz w:val="21"/>
          <w:szCs w:val="21"/>
        </w:rPr>
        <w:t xml:space="preserve">Five workbooks rendered completely blank</w:t>
      </w:r>
      <w:r>
        <w:rPr>
          <w:sz w:val="21"/>
          <w:szCs w:val="21"/>
        </w:rPr>
        <w:t xml:space="preserve"> in any other viewer — including this project's own webapp preview — from the Ratios sheet down to the final grade.</w:t>
      </w:r>
    </w:p>
    <w:p>
      <w:pPr>
        <w:spacing w:after="160"/>
      </w:pPr>
      <w:r>
        <w:rPr>
          <w:b/>
          <w:bCs/>
          <w:sz w:val="21"/>
          <w:szCs w:val="21"/>
        </w:rPr>
        <w:t xml:space="preserve">Fix and its evidence.</w:t>
      </w:r>
      <w:r>
        <w:rPr>
          <w:sz w:val="21"/>
          <w:szCs w:val="21"/>
        </w:rPr>
        <w:t xml:space="preserve"> </w:t>
      </w:r>
      <w:r>
        <w:rPr>
          <w:rFonts w:ascii="Consolas" w:cs="Consolas" w:eastAsia="Consolas" w:hAnsi="Consolas"/>
          <w:sz w:val="21"/>
          <w:szCs w:val="21"/>
        </w:rPr>
        <w:t xml:space="preserve">recalc_workbook.py</w:t>
      </w:r>
      <w:r>
        <w:rPr>
          <w:sz w:val="21"/>
          <w:szCs w:val="21"/>
        </w:rPr>
        <w:t xml:space="preserve"> evaluates with the same </w:t>
      </w:r>
      <w:r>
        <w:rPr>
          <w:rFonts w:ascii="Consolas" w:cs="Consolas" w:eastAsia="Consolas" w:hAnsi="Consolas"/>
          <w:sz w:val="21"/>
          <w:szCs w:val="21"/>
        </w:rPr>
        <w:t xml:space="preserve">formulas</w:t>
      </w:r>
      <w:r>
        <w:rPr>
          <w:sz w:val="21"/>
          <w:szCs w:val="21"/>
        </w:rPr>
        <w:t xml:space="preserve"> engine </w:t>
      </w:r>
      <w:r>
        <w:rPr>
          <w:rFonts w:ascii="Consolas" w:cs="Consolas" w:eastAsia="Consolas" w:hAnsi="Consolas"/>
          <w:sz w:val="21"/>
          <w:szCs w:val="21"/>
        </w:rPr>
        <w:t xml:space="preserve">rate_engine.py</w:t>
      </w:r>
      <w:r>
        <w:rPr>
          <w:sz w:val="21"/>
          <w:szCs w:val="21"/>
        </w:rPr>
        <w:t xml:space="preserve"> already uses for its offline anchor, so the values written are by construction the ones the grade is read from, and injects each into the cell's </w:t>
      </w:r>
      <w:r>
        <w:rPr>
          <w:rFonts w:ascii="Consolas" w:cs="Consolas" w:eastAsia="Consolas" w:hAnsi="Consolas"/>
          <w:sz w:val="21"/>
          <w:szCs w:val="21"/>
        </w:rPr>
        <w:t xml:space="preserve">&lt;v&gt;</w:t>
      </w:r>
      <w:r>
        <w:rPr>
          <w:sz w:val="21"/>
          <w:szCs w:val="21"/>
        </w:rPr>
        <w:t xml:space="preserve">. The </w:t>
      </w:r>
      <w:r>
        <w:rPr>
          <w:rFonts w:ascii="Consolas" w:cs="Consolas" w:eastAsia="Consolas" w:hAnsi="Consolas"/>
          <w:sz w:val="21"/>
          <w:szCs w:val="21"/>
        </w:rPr>
        <w:t xml:space="preserve">&lt;f&gt;</w:t>
      </w:r>
      <w:r>
        <w:rPr>
          <w:sz w:val="21"/>
          <w:szCs w:val="21"/>
        </w:rPr>
        <w:t xml:space="preserve"> is untouched, so the workbook stays live. </w:t>
      </w:r>
      <w:r>
        <w:rPr>
          <w:b/>
          <w:bCs/>
          <w:sz w:val="21"/>
          <w:szCs w:val="21"/>
        </w:rPr>
        <w:t xml:space="preserve">All 10 formula workbooks now fully populated, all structurally valid, and every grade unchanged.</w:t>
      </w:r>
    </w:p>
    <w:p>
      <w:pPr>
        <w:spacing w:after="160"/>
      </w:pPr>
      <w:r>
        <w:rPr>
          <w:b/>
          <w:bCs/>
          <w:sz w:val="21"/>
          <w:szCs w:val="21"/>
        </w:rPr>
        <w:t xml:space="preserve">Two defects in my own fix, both caught by its built-in verification:</w:t>
      </w:r>
      <w:r>
        <w:rPr>
          <w:sz w:val="21"/>
          <w:szCs w:val="21"/>
        </w:rPr>
        <w:t xml:space="preserve"> a path join produced </w:t>
      </w:r>
      <w:r>
        <w:rPr>
          <w:rFonts w:ascii="Consolas" w:cs="Consolas" w:eastAsia="Consolas" w:hAnsi="Consolas"/>
          <w:sz w:val="21"/>
          <w:szCs w:val="21"/>
        </w:rPr>
        <w:t xml:space="preserve">xl/xl/worksheets/…</w:t>
      </w:r>
      <w:r>
        <w:rPr>
          <w:sz w:val="21"/>
          <w:szCs w:val="21"/>
        </w:rPr>
        <w:t xml:space="preserve"> and wrote nothing; and my "empty cell" test compared strings, which discarded </w:t>
      </w:r>
      <w:r>
        <w:rPr>
          <w:rFonts w:ascii="Consolas" w:cs="Consolas" w:eastAsia="Consolas" w:hAnsi="Consolas"/>
          <w:sz w:val="21"/>
          <w:szCs w:val="21"/>
        </w:rPr>
        <w:t xml:space="preserve">Rating!C10</w:t>
      </w:r>
      <w:r>
        <w:rPr>
          <w:sz w:val="21"/>
          <w:szCs w:val="21"/>
        </w:rPr>
        <w:t xml:space="preserve"> — whose legitimate result is the string </w:t>
      </w:r>
      <w:r>
        <w:rPr>
          <w:rFonts w:ascii="Consolas" w:cs="Consolas" w:eastAsia="Consolas" w:hAnsi="Consolas"/>
          <w:sz w:val="21"/>
          <w:szCs w:val="21"/>
        </w:rPr>
        <w:t xml:space="preserve">"None"</w:t>
      </w:r>
      <w:r>
        <w:rPr>
          <w:sz w:val="21"/>
          <w:szCs w:val="21"/>
        </w:rPr>
        <w:t xml:space="preserve">, the workbook's own wording for </w:t>
      </w:r>
      <w:r>
        <w:rPr>
          <w:i/>
          <w:iCs/>
          <w:sz w:val="21"/>
          <w:szCs w:val="21"/>
        </w:rPr>
        <w:t xml:space="preserve">no hard caps applied</w:t>
      </w:r>
      <w:r>
        <w:rPr>
          <w:sz w:val="21"/>
          <w:szCs w:val="21"/>
        </w:rPr>
        <w:t xml:space="preserve">.</w:t>
      </w:r>
    </w:p>
    <w:p>
      <w:pPr>
        <w:pStyle w:val="Heading2"/>
        <w:spacing w:after="120" w:before="260"/>
      </w:pPr>
      <w:r>
        <w:rPr>
          <w:b/>
          <w:bCs/>
          <w:color w:val="1B2A4A"/>
          <w:sz w:val="24"/>
          <w:szCs w:val="24"/>
        </w:rPr>
        <w:t xml:space="preserve">6.3 A larger defect exposed while adding the guard</w:t>
      </w:r>
    </w:p>
    <w:p>
      <w:pPr>
        <w:spacing w:after="160"/>
      </w:pPr>
      <w:r>
        <w:rPr>
          <w:sz w:val="21"/>
          <w:szCs w:val="21"/>
        </w:rPr>
        <w:t xml:space="preserve">Adding a delivery-gate probe for 6.2 required resolving each rationale to its case folder. </w:t>
      </w:r>
      <w:r>
        <w:rPr>
          <w:rFonts w:ascii="Consolas" w:cs="Consolas" w:eastAsia="Consolas" w:hAnsi="Consolas"/>
          <w:sz w:val="21"/>
          <w:szCs w:val="21"/>
        </w:rPr>
        <w:t xml:space="preserve">check_sections.py</w:t>
      </w:r>
      <w:r>
        <w:rPr>
          <w:sz w:val="21"/>
          <w:szCs w:val="21"/>
        </w:rPr>
        <w:t xml:space="preserve"> was doing that as </w:t>
      </w:r>
      <w:r>
        <w:rPr>
          <w:rFonts w:ascii="Consolas" w:cs="Consolas" w:eastAsia="Consolas" w:hAnsi="Consolas"/>
          <w:sz w:val="21"/>
          <w:szCs w:val="21"/>
        </w:rPr>
        <w:t xml:space="preserve">path.parent</w:t>
      </w:r>
      <w:r>
        <w:rPr>
          <w:sz w:val="21"/>
          <w:szCs w:val="21"/>
        </w:rPr>
        <w:t xml:space="preserve"> — but rationales live in the project root while </w:t>
      </w:r>
      <w:r>
        <w:rPr>
          <w:rFonts w:ascii="Consolas" w:cs="Consolas" w:eastAsia="Consolas" w:hAnsi="Consolas"/>
          <w:sz w:val="21"/>
          <w:szCs w:val="21"/>
        </w:rPr>
        <w:t xml:space="preserve">case.json</w:t>
      </w:r>
      <w:r>
        <w:rPr>
          <w:sz w:val="21"/>
          <w:szCs w:val="21"/>
        </w:rPr>
        <w:t xml:space="preserve"> lives in </w:t>
      </w:r>
      <w:r>
        <w:rPr>
          <w:rFonts w:ascii="Consolas" w:cs="Consolas" w:eastAsia="Consolas" w:hAnsi="Consolas"/>
          <w:sz w:val="21"/>
          <w:szCs w:val="21"/>
        </w:rPr>
        <w:t xml:space="preserve">Companies/&lt;slug&gt;/</w:t>
      </w:r>
      <w:r>
        <w:rPr>
          <w:sz w:val="21"/>
          <w:szCs w:val="21"/>
        </w:rPr>
        <w:t xml:space="preserve">. </w:t>
      </w:r>
      <w:r>
        <w:rPr>
          <w:b/>
          <w:bCs/>
          <w:sz w:val="21"/>
          <w:szCs w:val="21"/>
        </w:rPr>
        <w:t xml:space="preserve">Every case-level probe below that line has therefore been silently inert on almost every delivered report, including the failure-mode-35 Step 12 check</w:t>
      </w:r>
      <w:r>
        <w:rPr>
          <w:sz w:val="21"/>
          <w:szCs w:val="21"/>
        </w:rPr>
        <w:t xml:space="preserve"> — the one probe written specifically to stop batch mode dropping the forward view. Fixed by matching the rationale against each case's registered name and aliases. Now live, it immediately surfaces genuine Step 12 gaps on Vedanta/Hindustan Zinc.</w:t>
      </w:r>
    </w:p>
    <w:p>
      <w:pPr>
        <w:pBdr>
          <w:bottom w:val="single" w:color="C7D0DE" w:sz="6" w:space="4"/>
        </w:pBdr>
        <w:spacing w:after="200"/>
      </w:pPr>
    </w:p>
    <w:p>
      <w:pPr>
        <w:pStyle w:val="Heading2"/>
        <w:spacing w:after="120" w:before="260"/>
      </w:pPr>
      <w:r>
        <w:rPr>
          <w:b/>
          <w:bCs/>
          <w:color w:val="1B2A4A"/>
          <w:sz w:val="24"/>
          <w:szCs w:val="24"/>
        </w:rPr>
        <w:t xml:space="preserve">7. Open items</w:t>
      </w:r>
    </w:p>
    <w:tbl>
      <w:tblPr>
        <w:tblW w:type="dxa" w:w="9360"/>
        <w:tblBorders>
          <w:top w:val="single" w:color="C7D0DE" w:sz="4"/>
          <w:left w:val="single" w:color="C7D0DE" w:sz="4"/>
          <w:bottom w:val="single" w:color="C7D0DE" w:sz="4"/>
          <w:right w:val="single" w:color="C7D0DE" w:sz="4"/>
          <w:insideH w:val="single" w:color="C7D0DE" w:sz="4"/>
          <w:insideV w:val="single" w:color="C7D0DE" w:sz="4"/>
        </w:tblBorders>
      </w:tblPr>
      <w:tblGrid>
        <w:gridCol w:w="3120"/>
        <w:gridCol w:w="3120"/>
        <w:gridCol w:w="3120"/>
      </w:tblGrid>
      <w:tr>
        <w:trPr>
          <w:tblHeader/>
        </w:trPr>
        <w:tc>
          <w:tcPr>
            <w:tcW w:type="dxa" w:w="3120"/>
            <w:shd w:fill="1B2A4A" w:val="clear"/>
            <w:tcMar>
              <w:top w:type="dxa" w:w="60"/>
              <w:left w:type="dxa" w:w="100"/>
              <w:bottom w:type="dxa" w:w="60"/>
              <w:right w:type="dxa" w:w="100"/>
            </w:tcMar>
          </w:tcPr>
          <w:p>
            <w:r>
              <w:rPr>
                <w:b/>
                <w:bCs/>
                <w:color w:val="FFFFFF"/>
                <w:sz w:val="19"/>
                <w:szCs w:val="19"/>
              </w:rPr>
              <w:t xml:space="preserve">#</w:t>
            </w:r>
          </w:p>
        </w:tc>
        <w:tc>
          <w:tcPr>
            <w:tcW w:type="dxa" w:w="3120"/>
            <w:shd w:fill="1B2A4A" w:val="clear"/>
            <w:tcMar>
              <w:top w:type="dxa" w:w="60"/>
              <w:left w:type="dxa" w:w="100"/>
              <w:bottom w:type="dxa" w:w="60"/>
              <w:right w:type="dxa" w:w="100"/>
            </w:tcMar>
          </w:tcPr>
          <w:p>
            <w:r>
              <w:rPr>
                <w:b/>
                <w:bCs/>
                <w:color w:val="FFFFFF"/>
                <w:sz w:val="19"/>
                <w:szCs w:val="19"/>
              </w:rPr>
              <w:t xml:space="preserve">Item</w:t>
            </w:r>
          </w:p>
        </w:tc>
        <w:tc>
          <w:tcPr>
            <w:tcW w:type="dxa" w:w="3120"/>
            <w:shd w:fill="1B2A4A" w:val="clear"/>
            <w:tcMar>
              <w:top w:type="dxa" w:w="60"/>
              <w:left w:type="dxa" w:w="100"/>
              <w:bottom w:type="dxa" w:w="60"/>
              <w:right w:type="dxa" w:w="100"/>
            </w:tcMar>
          </w:tcPr>
          <w:p>
            <w:r>
              <w:rPr>
                <w:b/>
                <w:bCs/>
                <w:color w:val="FFFFFF"/>
                <w:sz w:val="19"/>
                <w:szCs w:val="19"/>
              </w:rPr>
              <w:t xml:space="preserve">Status</w:t>
            </w:r>
          </w:p>
        </w:tc>
      </w:tr>
      <w:tr>
        <w:tc>
          <w:tcPr>
            <w:tcW w:type="dxa" w:w="3120"/>
            <w:shd w:fill="FFFFFF" w:val="clear"/>
            <w:tcMar>
              <w:top w:type="dxa" w:w="60"/>
              <w:left w:type="dxa" w:w="100"/>
              <w:bottom w:type="dxa" w:w="60"/>
              <w:right w:type="dxa" w:w="100"/>
            </w:tcMar>
          </w:tcPr>
          <w:p>
            <w:r>
              <w:rPr>
                <w:b w:val="false"/>
                <w:bCs w:val="false"/>
                <w:sz w:val="19"/>
                <w:szCs w:val="19"/>
              </w:rPr>
              <w:t xml:space="preserve">1</w:t>
            </w:r>
          </w:p>
        </w:tc>
        <w:tc>
          <w:tcPr>
            <w:tcW w:type="dxa" w:w="3120"/>
            <w:shd w:fill="FFFFFF" w:val="clear"/>
            <w:tcMar>
              <w:top w:type="dxa" w:w="60"/>
              <w:left w:type="dxa" w:w="100"/>
              <w:bottom w:type="dxa" w:w="60"/>
              <w:right w:type="dxa" w:w="100"/>
            </w:tcMar>
          </w:tcPr>
          <w:p>
            <w:r>
              <w:rPr>
                <w:rFonts w:ascii="Consolas" w:cs="Consolas" w:eastAsia="Consolas" w:hAnsi="Consolas"/>
                <w:b/>
                <w:bCs/>
                <w:sz w:val="19"/>
                <w:szCs w:val="19"/>
              </w:rPr>
              <w:t xml:space="preserve">Companies/sbi/</w:t>
            </w:r>
            <w:r>
              <w:rPr>
                <w:b/>
                <w:bCs/>
                <w:sz w:val="19"/>
                <w:szCs w:val="19"/>
              </w:rPr>
              <w:t xml:space="preserve"> and </w:t>
            </w:r>
            <w:r>
              <w:rPr>
                <w:rFonts w:ascii="Consolas" w:cs="Consolas" w:eastAsia="Consolas" w:hAnsi="Consolas"/>
                <w:b/>
                <w:bCs/>
                <w:sz w:val="19"/>
                <w:szCs w:val="19"/>
              </w:rPr>
              <w:t xml:space="preserve">Companies/state-bank-of-india/</w:t>
            </w:r>
            <w:r>
              <w:rPr>
                <w:b/>
                <w:bCs/>
                <w:sz w:val="19"/>
                <w:szCs w:val="19"/>
              </w:rPr>
              <w:t xml:space="preserve"> are duplicate folders for the same issuer.</w:t>
            </w:r>
            <w:r>
              <w:rPr>
                <w:b w:val="false"/>
                <w:bCs w:val="false"/>
                <w:sz w:val="19"/>
                <w:szCs w:val="19"/>
              </w:rPr>
              <w:t xml:space="preserve"> The empty July folder wins the name match over the August folder that holds all the deliverables, producing a false Step 12 warning.</w:t>
            </w:r>
          </w:p>
        </w:tc>
        <w:tc>
          <w:tcPr>
            <w:tcW w:type="dxa" w:w="3120"/>
            <w:shd w:fill="FFFFFF" w:val="clear"/>
            <w:tcMar>
              <w:top w:type="dxa" w:w="60"/>
              <w:left w:type="dxa" w:w="100"/>
              <w:bottom w:type="dxa" w:w="60"/>
              <w:right w:type="dxa" w:w="100"/>
            </w:tcMar>
          </w:tcPr>
          <w:p>
            <w:r>
              <w:rPr>
                <w:b/>
                <w:bCs/>
                <w:sz w:val="19"/>
                <w:szCs w:val="19"/>
              </w:rPr>
              <w:t xml:space="preserve">Needs your decision.</w:t>
            </w:r>
            <w:r>
              <w:rPr>
                <w:b w:val="false"/>
                <w:bCs w:val="false"/>
                <w:sz w:val="19"/>
                <w:szCs w:val="19"/>
              </w:rPr>
              <w:t xml:space="preserve"> Deleting the empty duplicate clears it. Not actioned — removing a case folder is not mine to do.</w:t>
            </w:r>
          </w:p>
        </w:tc>
      </w:tr>
      <w:tr>
        <w:tc>
          <w:tcPr>
            <w:tcW w:type="dxa" w:w="3120"/>
            <w:shd w:fill="F4F6F9" w:val="clear"/>
            <w:tcMar>
              <w:top w:type="dxa" w:w="60"/>
              <w:left w:type="dxa" w:w="100"/>
              <w:bottom w:type="dxa" w:w="60"/>
              <w:right w:type="dxa" w:w="100"/>
            </w:tcMar>
          </w:tcPr>
          <w:p>
            <w:r>
              <w:rPr>
                <w:b w:val="false"/>
                <w:bCs w:val="false"/>
                <w:sz w:val="19"/>
                <w:szCs w:val="19"/>
              </w:rPr>
              <w:t xml:space="preserve">2</w:t>
            </w:r>
          </w:p>
        </w:tc>
        <w:tc>
          <w:tcPr>
            <w:tcW w:type="dxa" w:w="3120"/>
            <w:shd w:fill="F4F6F9" w:val="clear"/>
            <w:tcMar>
              <w:top w:type="dxa" w:w="60"/>
              <w:left w:type="dxa" w:w="100"/>
              <w:bottom w:type="dxa" w:w="60"/>
              <w:right w:type="dxa" w:w="100"/>
            </w:tcMar>
          </w:tcPr>
          <w:p>
            <w:r>
              <w:rPr>
                <w:b w:val="false"/>
                <w:bCs w:val="false"/>
                <w:sz w:val="19"/>
                <w:szCs w:val="19"/>
              </w:rPr>
              <w:t xml:space="preserve">Dhampur Bio Organics and IIFL Finance fail on mandatory sections</w:t>
            </w:r>
          </w:p>
        </w:tc>
        <w:tc>
          <w:tcPr>
            <w:tcW w:type="dxa" w:w="3120"/>
            <w:shd w:fill="F4F6F9" w:val="clear"/>
            <w:tcMar>
              <w:top w:type="dxa" w:w="60"/>
              <w:left w:type="dxa" w:w="100"/>
              <w:bottom w:type="dxa" w:w="60"/>
              <w:right w:type="dxa" w:w="100"/>
            </w:tcMar>
          </w:tcPr>
          <w:p>
            <w:r>
              <w:rPr>
                <w:b/>
                <w:bCs/>
                <w:sz w:val="19"/>
                <w:szCs w:val="19"/>
              </w:rPr>
              <w:t xml:space="preserve">Pre-existing</w:t>
            </w:r>
            <w:r>
              <w:rPr>
                <w:b w:val="false"/>
                <w:bCs w:val="false"/>
                <w:sz w:val="19"/>
                <w:szCs w:val="19"/>
              </w:rPr>
              <w:t xml:space="preserve">, unrelated to this session</w:t>
            </w:r>
          </w:p>
        </w:tc>
      </w:tr>
      <w:tr>
        <w:tc>
          <w:tcPr>
            <w:tcW w:type="dxa" w:w="3120"/>
            <w:shd w:fill="FFFFFF" w:val="clear"/>
            <w:tcMar>
              <w:top w:type="dxa" w:w="60"/>
              <w:left w:type="dxa" w:w="100"/>
              <w:bottom w:type="dxa" w:w="60"/>
              <w:right w:type="dxa" w:w="100"/>
            </w:tcMar>
          </w:tcPr>
          <w:p>
            <w:r>
              <w:rPr>
                <w:b w:val="false"/>
                <w:bCs w:val="false"/>
                <w:sz w:val="19"/>
                <w:szCs w:val="19"/>
              </w:rPr>
              <w:t xml:space="preserve">3</w:t>
            </w:r>
          </w:p>
        </w:tc>
        <w:tc>
          <w:tcPr>
            <w:tcW w:type="dxa" w:w="3120"/>
            <w:shd w:fill="FFFFFF" w:val="clear"/>
            <w:tcMar>
              <w:top w:type="dxa" w:w="60"/>
              <w:left w:type="dxa" w:w="100"/>
              <w:bottom w:type="dxa" w:w="60"/>
              <w:right w:type="dxa" w:w="100"/>
            </w:tcMar>
          </w:tcPr>
          <w:p>
            <w:r>
              <w:rPr>
                <w:rFonts w:ascii="Consolas" w:cs="Consolas" w:eastAsia="Consolas" w:hAnsi="Consolas"/>
                <w:b w:val="false"/>
                <w:bCs w:val="false"/>
                <w:sz w:val="19"/>
                <w:szCs w:val="19"/>
              </w:rPr>
              <w:t xml:space="preserve">Companies/vi/RATING_REQUEST.md</w:t>
            </w:r>
            <w:r>
              <w:rPr>
                <w:b w:val="false"/>
                <w:bCs w:val="false"/>
                <w:sz w:val="19"/>
                <w:szCs w:val="19"/>
              </w:rPr>
              <w:t xml:space="preserve"> was auto-deleted by the webapp's self-heal once the fix made the rationale visible to the case. This is the designed behaviour, but it removed the delivery annotation written into that file.</w:t>
            </w:r>
          </w:p>
        </w:tc>
        <w:tc>
          <w:tcPr>
            <w:tcW w:type="dxa" w:w="3120"/>
            <w:shd w:fill="FFFFFF" w:val="clear"/>
            <w:tcMar>
              <w:top w:type="dxa" w:w="60"/>
              <w:left w:type="dxa" w:w="100"/>
              <w:bottom w:type="dxa" w:w="60"/>
              <w:right w:type="dxa" w:w="100"/>
            </w:tcMar>
          </w:tcPr>
          <w:p>
            <w:r>
              <w:rPr>
                <w:b/>
                <w:bCs/>
                <w:sz w:val="19"/>
                <w:szCs w:val="19"/>
              </w:rPr>
              <w:t xml:space="preserve">Noted.</w:t>
            </w:r>
            <w:r>
              <w:rPr>
                <w:b w:val="false"/>
                <w:bCs w:val="false"/>
                <w:sz w:val="19"/>
                <w:szCs w:val="19"/>
              </w:rPr>
              <w:t xml:space="preserve"> The case still shows as delivered because the rationale is found.</w:t>
            </w:r>
          </w:p>
        </w:tc>
      </w:tr>
    </w:tbl>
    <w:p>
      <w:pPr>
        <w:spacing w:after="200"/>
      </w:pPr>
    </w:p>
    <w:p>
      <w:pPr>
        <w:pBdr>
          <w:bottom w:val="single" w:color="C7D0DE" w:sz="6" w:space="4"/>
        </w:pBdr>
        <w:spacing w:after="200"/>
      </w:pPr>
    </w:p>
    <w:p>
      <w:pPr>
        <w:pStyle w:val="Heading2"/>
        <w:spacing w:after="120" w:before="260"/>
      </w:pPr>
      <w:r>
        <w:rPr>
          <w:b/>
          <w:bCs/>
          <w:color w:val="1B2A4A"/>
          <w:sz w:val="24"/>
          <w:szCs w:val="24"/>
        </w:rPr>
        <w:t xml:space="preserve">8. Limitations of the work itself, restated</w:t>
      </w:r>
    </w:p>
    <w:p>
      <w:pPr>
        <w:spacing w:after="160"/>
      </w:pPr>
      <w:r>
        <w:rPr>
          <w:sz w:val="21"/>
          <w:szCs w:val="21"/>
        </w:rPr>
        <w:t xml:space="preserve">These were disclosed in the deliverables and are repeated here so the audit does not read as an unqualified pass.</w:t>
      </w:r>
    </w:p>
    <w:p>
      <w:pPr>
        <w:spacing w:after="160"/>
      </w:pPr>
      <w:r>
        <w:rPr>
          <w:sz w:val="21"/>
          <w:szCs w:val="21"/>
        </w:rPr>
        <w:t xml:space="preserve">1. </w:t>
      </w:r>
      <w:r>
        <w:rPr>
          <w:b/>
          <w:bCs/>
          <w:sz w:val="21"/>
          <w:szCs w:val="21"/>
        </w:rPr>
        <w:t xml:space="preserve">Step 13/14 independence was partially compromised.</w:t>
      </w:r>
      <w:r>
        <w:rPr>
          <w:sz w:val="21"/>
          <w:szCs w:val="21"/>
        </w:rPr>
        <w:t xml:space="preserve"> Failure mode 29 requires extracting the rated-amount table before drafting; on this case that table sits at the top of the same file as ICRA's rationale, so opening it exposed ICRA's opening reasoning before the qualitative view was written down. The entire quantitative view — engine, tie-outs, operating metrics, forward model, scorecard — was fixed in code beforehand. Recorded in the workpaper at section 14.</w:t>
      </w:r>
    </w:p>
    <w:p>
      <w:pPr>
        <w:spacing w:after="160"/>
      </w:pPr>
      <w:r>
        <w:rPr>
          <w:sz w:val="21"/>
          <w:szCs w:val="21"/>
        </w:rPr>
        <w:t xml:space="preserve">2. </w:t>
      </w:r>
      <w:r>
        <w:rPr>
          <w:b/>
          <w:bCs/>
          <w:sz w:val="21"/>
          <w:szCs w:val="21"/>
        </w:rPr>
        <w:t xml:space="preserve">One figure comes only from ICRA's publication.</w:t>
      </w:r>
      <w:r>
        <w:rPr>
          <w:sz w:val="21"/>
          <w:szCs w:val="21"/>
        </w:rPr>
        <w:t xml:space="preserve"> The Rs. 25,000 crore term debt / Rs. 10,000 crore non-fund-based funding split is not in the issuer's documents — searched for "25,000", "25000", "non-fund based facility" and "term debt" across the annual report and all four quarterly presentations. It is attributed in the report, not presented as issuer-disclosed.</w:t>
      </w:r>
    </w:p>
    <w:p>
      <w:pPr>
        <w:spacing w:after="160"/>
      </w:pPr>
      <w:r>
        <w:rPr>
          <w:sz w:val="21"/>
          <w:szCs w:val="21"/>
        </w:rPr>
        <w:t xml:space="preserve">3. </w:t>
      </w:r>
      <w:r>
        <w:rPr>
          <w:b/>
          <w:bCs/>
          <w:sz w:val="21"/>
          <w:szCs w:val="21"/>
        </w:rPr>
        <w:t xml:space="preserve">Three of 187 engine inputs are covered by no check</w:t>
      </w:r>
      <w:r>
        <w:rPr>
          <w:sz w:val="21"/>
          <w:szCs w:val="21"/>
        </w:rPr>
        <w:t xml:space="preserve"> — the Q4 FY2026 customer ARPU and two data-usage figures. They are corroborated as present in the source, but corroboration cannot distinguish a mis-transcription when the mutated value also happens to appear in a 443,000-word document set. Named in the engine's own disclosures.</w:t>
      </w:r>
    </w:p>
    <w:p>
      <w:pPr>
        <w:spacing w:after="160"/>
      </w:pPr>
      <w:r>
        <w:rPr>
          <w:sz w:val="21"/>
          <w:szCs w:val="21"/>
        </w:rPr>
        <w:t xml:space="preserve">4. </w:t>
      </w:r>
      <w:r>
        <w:rPr>
          <w:b/>
          <w:bCs/>
          <w:sz w:val="21"/>
          <w:szCs w:val="21"/>
        </w:rPr>
        <w:t xml:space="preserve">No filing after 31 March 2026 was supplied.</w:t>
      </w:r>
      <w:r>
        <w:rPr>
          <w:sz w:val="21"/>
          <w:szCs w:val="21"/>
        </w:rPr>
        <w:t xml:space="preserve"> The DoT letter finalising the AGR dues is dated 30 April 2026 and is inside the annual report, but no bring-down check beyond the audited year-end was possible.</w:t>
      </w:r>
    </w:p>
    <w:p>
      <w:pPr>
        <w:spacing w:after="160"/>
      </w:pPr>
      <w:r>
        <w:rPr>
          <w:sz w:val="21"/>
          <w:szCs w:val="21"/>
        </w:rPr>
        <w:t xml:space="preserve">5. </w:t>
      </w:r>
      <w:r>
        <w:rPr>
          <w:b/>
          <w:bCs/>
          <w:sz w:val="21"/>
          <w:szCs w:val="21"/>
        </w:rPr>
        <w:t xml:space="preserve">The scorecard mis-scores a negative-net-worth issuer on two inputs.</w:t>
      </w:r>
      <w:r>
        <w:rPr>
          <w:sz w:val="21"/>
          <w:szCs w:val="21"/>
        </w:rPr>
        <w:t xml:space="preserve"> Gearing computes to −4.5 times and scores 1 — "strongest" — because a negative denominator inverts the ratio. The hard cap on negative net worth is what produces the correct B- anchor. The report marks gearing and TOL/TNW as not meaningful for exactly this reason.</w:t>
      </w:r>
    </w:p>
    <w:p>
      <w:pPr>
        <w:pBdr>
          <w:bottom w:val="single" w:color="C7D0DE" w:sz="6" w:space="4"/>
        </w:pBdr>
        <w:spacing w:after="200"/>
      </w:pPr>
    </w:p>
    <w:p>
      <w:pPr>
        <w:pStyle w:val="Heading2"/>
        <w:spacing w:after="120" w:before="260"/>
      </w:pPr>
      <w:r>
        <w:rPr>
          <w:b/>
          <w:bCs/>
          <w:color w:val="1B2A4A"/>
          <w:sz w:val="24"/>
          <w:szCs w:val="24"/>
        </w:rPr>
        <w:t xml:space="preserve">9. Conclusion</w:t>
      </w:r>
    </w:p>
    <w:p>
      <w:pPr>
        <w:spacing w:after="160"/>
      </w:pPr>
      <w:r>
        <w:rPr>
          <w:sz w:val="21"/>
          <w:szCs w:val="21"/>
        </w:rPr>
        <w:t xml:space="preserve">The rating package is fit to go forward to the Reviewer and Rating Committee stages, which have not been performed — under the governance overlay the grade is a committee decision and what exists today is the analyst's proposed view. The two material defects found in this audit were in the report's framing and in a stated notch count, not in its evidence or its arithmetic; both are corrected. The two toolchain fixes are verified on the live server and across all thirteen scorecards, and each was regression-tested against the specific failure it could have introduced.</w:t>
      </w:r>
    </w:p>
    <w:p>
      <w:pPr>
        <w:spacing w:after="160"/>
      </w:pPr>
      <w:r>
        <w:rPr>
          <w:b/>
          <w:bCs/>
          <w:sz w:val="21"/>
          <w:szCs w:val="21"/>
        </w:rPr>
        <w:t xml:space="preserve">The most useful thing this audit produced is not in the rating at all.</w:t>
      </w:r>
      <w:r>
        <w:rPr>
          <w:sz w:val="21"/>
          <w:szCs w:val="21"/>
        </w:rPr>
        <w:t xml:space="preserve"> It is the discovery that a delivery-gate probe had been inert for months on the files it was written to police, because of a single line resolving a directory. That is worth more attention than either of the defects it was looking for.</w:t>
      </w:r>
    </w:p>
    <w:p>
      <w:pPr>
        <w:pBdr>
          <w:bottom w:val="single" w:color="C7D0DE" w:sz="6" w:space="4"/>
        </w:pBdr>
        <w:spacing w:after="200"/>
      </w:pPr>
    </w:p>
    <w:p>
      <w:pPr>
        <w:spacing w:after="160"/>
      </w:pPr>
      <w:r>
        <w:rPr>
          <w:i/>
          <w:iCs/>
          <w:color w:val="555555"/>
          <w:sz w:val="20"/>
          <w:szCs w:val="20"/>
        </w:rPr>
        <w:t xml:space="preserve">Prepared as an analytical exercise. Not an official ICRA publication and not a rating assigned by ICRA Limited. Data cut-off for the underlying case: 31 March 2026 (audited).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2026-09-01T10:17:31.858Z</dcterms:created>
  <dcterms:modified xsi:type="dcterms:W3CDTF">2026-09-01T10:17:31.860Z</dcterms:modified>
</cp:coreProperties>
</file>

<file path=docProps/custom.xml><?xml version="1.0" encoding="utf-8"?>
<Properties xmlns="http://schemas.openxmlformats.org/officeDocument/2006/custom-properties" xmlns:vt="http://schemas.openxmlformats.org/officeDocument/2006/docPropsVTypes"/>
</file>