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
      </w:pPr>
      <w:r>
        <w:rPr>
          <w:b/>
          <w:bCs/>
          <w:caps/>
          <w:color w:val="0E7C86"/>
          <w:spacing w:val="10"/>
          <w:sz w:val="20"/>
          <w:szCs w:val="20"/>
        </w:rPr>
        <w:t xml:space="preserve">Rating Rationale</w:t>
      </w:r>
    </w:p>
    <w:p>
      <w:pPr>
        <w:spacing w:after="160"/>
      </w:pPr>
      <w:r>
        <w:rPr>
          <w:sz w:val="21"/>
          <w:szCs w:val="21"/>
        </w:rPr>
        <w:t xml:space="preserve">August 30, 2026 | Independent analytical view (not an official CRISIL publication — see disclaimer)</w:t>
      </w:r>
    </w:p>
    <w:p>
      <w:pPr>
        <w:pStyle w:val="Heading1"/>
        <w:pBdr>
          <w:bottom w:val="single" w:color="0E7C86" w:sz="8" w:space="4"/>
        </w:pBdr>
        <w:spacing w:after="160" w:before="320"/>
      </w:pPr>
      <w:r>
        <w:rPr>
          <w:b/>
          <w:bCs/>
          <w:color w:val="1B2A4A"/>
          <w:sz w:val="30"/>
          <w:szCs w:val="30"/>
        </w:rPr>
        <w:t xml:space="preserve">Apollo Tyres Limited</w:t>
      </w:r>
    </w:p>
    <w:p>
      <w:pPr>
        <w:spacing w:after="160"/>
      </w:pPr>
      <w:r>
        <w:rPr>
          <w:i/>
          <w:iCs/>
          <w:color w:val="555555"/>
          <w:sz w:val="20"/>
          <w:szCs w:val="20"/>
        </w:rPr>
        <w:t xml:space="preserve">Rated entity: Apollo Tyres Limited, on both standalone and consolidated bases. Apollo Tyres (NL) B.V. (ATNL), a wholly-owned subsidiary, discontinued tyre manufacturing at its Enschede (Netherlands) plant during FY2026 — the single most consequential event in the review period and analysed throughout below.</w:t>
      </w:r>
    </w:p>
    <w:p>
      <w:pPr>
        <w:pStyle w:val="Heading2"/>
        <w:spacing w:after="120" w:before="260"/>
      </w:pPr>
      <w:r>
        <w:rPr>
          <w:b/>
          <w:bCs/>
          <w:color w:val="1B2A4A"/>
          <w:sz w:val="24"/>
          <w:szCs w:val="24"/>
        </w:rPr>
        <w:t xml:space="preserve">Rating Action</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4680"/>
        <w:gridCol w:w="4680"/>
      </w:tblGrid>
      <w:tr>
        <w:trPr>
          <w:tblHeader/>
        </w:trPr>
        <w:tc>
          <w:tcPr>
            <w:tcW w:type="dxa" w:w="4680"/>
            <w:shd w:fill="1B2A4A" w:val="clear"/>
            <w:tcMar>
              <w:top w:type="dxa" w:w="60"/>
              <w:left w:type="dxa" w:w="100"/>
              <w:bottom w:type="dxa" w:w="60"/>
              <w:right w:type="dxa" w:w="100"/>
            </w:tcMar>
          </w:tcPr>
          <w:p>
            <w:r>
              <w:rPr>
                <w:b/>
                <w:bCs/>
                <w:color w:val="FFFFFF"/>
                <w:sz w:val="19"/>
                <w:szCs w:val="19"/>
              </w:rPr>
              <w:t xml:space="preserve">Long-term facilities (incl. NCDs, term loans, fund-based bank facilities)</w:t>
            </w:r>
          </w:p>
        </w:tc>
        <w:tc>
          <w:tcPr>
            <w:tcW w:type="dxa" w:w="4680"/>
            <w:shd w:fill="1B2A4A" w:val="clear"/>
            <w:tcMar>
              <w:top w:type="dxa" w:w="60"/>
              <w:left w:type="dxa" w:w="100"/>
              <w:bottom w:type="dxa" w:w="60"/>
              <w:right w:type="dxa" w:w="100"/>
            </w:tcMar>
          </w:tcPr>
          <w:p>
            <w:r>
              <w:rPr>
                <w:b/>
                <w:bCs/>
                <w:color w:val="FFFFFF"/>
                <w:sz w:val="19"/>
                <w:szCs w:val="19"/>
              </w:rPr>
              <w:t xml:space="preserve">Crisil AA+/Stable</w:t>
            </w:r>
            <w:r>
              <w:rPr>
                <w:b/>
                <w:bCs/>
                <w:color w:val="FFFFFF"/>
                <w:sz w:val="19"/>
                <w:szCs w:val="19"/>
              </w:rPr>
              <w:t xml:space="preserve"> </w:t>
            </w:r>
            <w:r>
              <w:rPr>
                <w:b/>
                <w:bCs/>
                <w:i/>
                <w:iCs/>
                <w:color w:val="FFFFFF"/>
                <w:sz w:val="19"/>
                <w:szCs w:val="19"/>
              </w:rPr>
              <w:t xml:space="preserve">(to be confirmed by issuer — see Annexure I source note)</w:t>
            </w:r>
          </w:p>
        </w:tc>
      </w:tr>
      <w:tr>
        <w:tc>
          <w:tcPr>
            <w:tcW w:type="dxa" w:w="4680"/>
            <w:shd w:fill="FFFFFF" w:val="clear"/>
            <w:tcMar>
              <w:top w:type="dxa" w:w="60"/>
              <w:left w:type="dxa" w:w="100"/>
              <w:bottom w:type="dxa" w:w="60"/>
              <w:right w:type="dxa" w:w="100"/>
            </w:tcMar>
          </w:tcPr>
          <w:p>
            <w:r>
              <w:rPr>
                <w:b w:val="false"/>
                <w:bCs w:val="false"/>
                <w:sz w:val="19"/>
                <w:szCs w:val="19"/>
              </w:rPr>
              <w:t xml:space="preserve">Short Term Rating (commercial paper)</w:t>
            </w:r>
          </w:p>
        </w:tc>
        <w:tc>
          <w:tcPr>
            <w:tcW w:type="dxa" w:w="4680"/>
            <w:shd w:fill="FFFFFF" w:val="clear"/>
            <w:tcMar>
              <w:top w:type="dxa" w:w="60"/>
              <w:left w:type="dxa" w:w="100"/>
              <w:bottom w:type="dxa" w:w="60"/>
              <w:right w:type="dxa" w:w="100"/>
            </w:tcMar>
          </w:tcPr>
          <w:p>
            <w:r>
              <w:rPr>
                <w:b w:val="false"/>
                <w:bCs w:val="false"/>
                <w:sz w:val="19"/>
                <w:szCs w:val="19"/>
              </w:rPr>
              <w:t xml:space="preserve">Crisil A1+</w:t>
            </w:r>
          </w:p>
        </w:tc>
      </w:tr>
      <w:tr>
        <w:tc>
          <w:tcPr>
            <w:tcW w:type="dxa" w:w="4680"/>
            <w:shd w:fill="F4F6F9" w:val="clear"/>
            <w:tcMar>
              <w:top w:type="dxa" w:w="60"/>
              <w:left w:type="dxa" w:w="100"/>
              <w:bottom w:type="dxa" w:w="60"/>
              <w:right w:type="dxa" w:w="100"/>
            </w:tcMar>
          </w:tcPr>
          <w:p>
            <w:r>
              <w:rPr>
                <w:b w:val="false"/>
                <w:bCs w:val="false"/>
                <w:sz w:val="19"/>
                <w:szCs w:val="19"/>
              </w:rPr>
              <w:t xml:space="preserve">Rated amount</w:t>
            </w:r>
          </w:p>
        </w:tc>
        <w:tc>
          <w:tcPr>
            <w:tcW w:type="dxa" w:w="4680"/>
            <w:shd w:fill="F4F6F9" w:val="clear"/>
            <w:tcMar>
              <w:top w:type="dxa" w:w="60"/>
              <w:left w:type="dxa" w:w="100"/>
              <w:bottom w:type="dxa" w:w="60"/>
              <w:right w:type="dxa" w:w="100"/>
            </w:tcMar>
          </w:tcPr>
          <w:p>
            <w:r>
              <w:rPr>
                <w:b w:val="false"/>
                <w:bCs w:val="false"/>
                <w:sz w:val="19"/>
                <w:szCs w:val="19"/>
              </w:rPr>
              <w:t xml:space="preserve">To be confirmed by issuer</w:t>
            </w:r>
            <w:r>
              <w:rPr>
                <w:b w:val="false"/>
                <w:bCs w:val="false"/>
                <w:sz w:val="19"/>
                <w:szCs w:val="19"/>
              </w:rPr>
              <w:t xml:space="preserve"> — no sanction letters or term sheets were supplied; no CRISIL rated-amount table for this issuer exists in the reference library</w:t>
            </w:r>
          </w:p>
        </w:tc>
      </w:tr>
    </w:tbl>
    <w:p>
      <w:pPr>
        <w:spacing w:after="200"/>
      </w:pPr>
    </w:p>
    <w:p>
      <w:pPr>
        <w:spacing w:after="160"/>
      </w:pPr>
      <w:r>
        <w:rPr>
          <w:i/>
          <w:iCs/>
          <w:color w:val="555555"/>
          <w:sz w:val="20"/>
          <w:szCs w:val="20"/>
        </w:rPr>
        <w:t xml:space="preserve">Refer to Annexure I for instrument details.</w:t>
      </w:r>
    </w:p>
    <w:p>
      <w:pPr>
        <w:pStyle w:val="Heading2"/>
        <w:spacing w:after="120" w:before="260"/>
      </w:pPr>
      <w:r>
        <w:rPr>
          <w:b/>
          <w:bCs/>
          <w:color w:val="1B2A4A"/>
          <w:sz w:val="24"/>
          <w:szCs w:val="24"/>
        </w:rPr>
        <w:t xml:space="preserve">Entity note (read first)</w:t>
      </w:r>
    </w:p>
    <w:p>
      <w:pPr>
        <w:spacing w:after="160"/>
      </w:pPr>
      <w:r>
        <w:rPr>
          <w:sz w:val="21"/>
          <w:szCs w:val="21"/>
        </w:rPr>
        <w:t xml:space="preserve">This is a new rating engagement. Apollo Tyres Limited is promoted by the Kanwar family (Promoter Group holding 36.93%, unchanged and stable), and is itself the ultimate listed parent of a 33-entity global group spanning India, Europe, the US, South Africa, Thailand, the Middle East and Singapore — no upstream parent-support notching applies. The Group's European manufacturing footprint underwent a material rationalisation in FY2026: subsidiary Apollo Tyres (NL) B.V. discontinued tyre manufacturing at its Enschede plant, triggering a Rs 1,000.12 crore impairment (a Key Audit Matter) that dominates the year's consolidated exceptional items.</w:t>
      </w:r>
    </w:p>
    <w:p>
      <w:pPr>
        <w:pStyle w:val="Heading2"/>
        <w:spacing w:after="120" w:before="260"/>
      </w:pPr>
      <w:r>
        <w:rPr>
          <w:b/>
          <w:bCs/>
          <w:color w:val="1B2A4A"/>
          <w:sz w:val="24"/>
          <w:szCs w:val="24"/>
        </w:rPr>
        <w:t xml:space="preserve">Detailed Rationale</w:t>
      </w:r>
    </w:p>
    <w:p>
      <w:pPr>
        <w:spacing w:after="160"/>
      </w:pPr>
      <w:r>
        <w:rPr>
          <w:sz w:val="21"/>
          <w:szCs w:val="21"/>
        </w:rPr>
        <w:t xml:space="preserve">This independent assessment arrives at </w:t>
      </w:r>
      <w:r>
        <w:rPr>
          <w:b/>
          <w:bCs/>
          <w:sz w:val="21"/>
          <w:szCs w:val="21"/>
        </w:rPr>
        <w:t xml:space="preserve">'Crisil AA+/Stable'</w:t>
      </w:r>
      <w:r>
        <w:rPr>
          <w:sz w:val="21"/>
          <w:szCs w:val="21"/>
        </w:rPr>
        <w:t xml:space="preserve"> for Apollo Tyres Limited's long-term facilities, with a short-term rating of </w:t>
      </w:r>
      <w:r>
        <w:rPr>
          <w:b/>
          <w:bCs/>
          <w:sz w:val="21"/>
          <w:szCs w:val="21"/>
        </w:rPr>
        <w:t xml:space="preserve">'Crisil A1+'</w:t>
      </w:r>
      <w:r>
        <w:rPr>
          <w:sz w:val="21"/>
          <w:szCs w:val="21"/>
        </w:rPr>
        <w:t xml:space="preserve">.</w:t>
      </w:r>
    </w:p>
    <w:p>
      <w:pPr>
        <w:spacing w:after="160"/>
      </w:pPr>
      <w:r>
        <w:rPr>
          <w:sz w:val="21"/>
          <w:szCs w:val="21"/>
        </w:rPr>
        <w:t xml:space="preserve">The rating reflects three structural anchors: an </w:t>
      </w:r>
      <w:r>
        <w:rPr>
          <w:b/>
          <w:bCs/>
          <w:sz w:val="21"/>
          <w:szCs w:val="21"/>
        </w:rPr>
        <w:t xml:space="preserve">established, large-scale global tyre manufacturing position</w:t>
      </w:r>
      <w:r>
        <w:rPr>
          <w:sz w:val="21"/>
          <w:szCs w:val="21"/>
        </w:rPr>
        <w:t xml:space="preserve"> (732,097 MT produced in fiscal 2026, sold in 100+ countries, under the Apollo and Vredestein brands), a </w:t>
      </w:r>
      <w:r>
        <w:rPr>
          <w:b/>
          <w:bCs/>
          <w:sz w:val="21"/>
          <w:szCs w:val="21"/>
        </w:rPr>
        <w:t xml:space="preserve">consolidated financial risk profile that has strengthened through the review period despite a genuine margin trough</w:t>
      </w:r>
      <w:r>
        <w:rPr>
          <w:sz w:val="21"/>
          <w:szCs w:val="21"/>
        </w:rPr>
        <w:t xml:space="preserve">, and a </w:t>
      </w:r>
      <w:r>
        <w:rPr>
          <w:b/>
          <w:bCs/>
          <w:sz w:val="21"/>
          <w:szCs w:val="21"/>
        </w:rPr>
        <w:t xml:space="preserve">decisive, already-completed corrective action</w:t>
      </w:r>
      <w:r>
        <w:rPr>
          <w:sz w:val="21"/>
          <w:szCs w:val="21"/>
        </w:rPr>
        <w:t xml:space="preserve"> on the one segment that had been dragging on group profitability.</w:t>
      </w:r>
    </w:p>
    <w:p>
      <w:pPr>
        <w:spacing w:after="160"/>
      </w:pPr>
      <w:r>
        <w:rPr>
          <w:sz w:val="21"/>
          <w:szCs w:val="21"/>
        </w:rPr>
        <w:t xml:space="preserve">Consolidated revenue grew from Rs 25,378 crore (fiscal 2024) to Rs 28,471 crore (fiscal 2026), but the more informative number is the shape of the margin over that period: PBDIT margin fell from 18.13% to a trough of 14.01% in fiscal 2025 — a genuine, disclosed cost-price mismatch on raw materials — before recovering to 15.02% in fiscal 2026. </w:t>
      </w:r>
      <w:r>
        <w:rPr>
          <w:b/>
          <w:bCs/>
          <w:sz w:val="21"/>
          <w:szCs w:val="21"/>
        </w:rPr>
        <w:t xml:space="preserve">Critically, gearing improved in every single year of this period, including the trough year</w:t>
      </w:r>
      <w:r>
        <w:rPr>
          <w:sz w:val="21"/>
          <w:szCs w:val="21"/>
        </w:rPr>
        <w:t xml:space="preserve">: consolidated gearing fell from 0.35 time (fiscal 2024) to 0.30 time (fiscal 2025, the margin trough) to </w:t>
      </w:r>
      <w:r>
        <w:rPr>
          <w:b/>
          <w:bCs/>
          <w:sz w:val="21"/>
          <w:szCs w:val="21"/>
        </w:rPr>
        <w:t xml:space="preserve">0.22 time</w:t>
      </w:r>
      <w:r>
        <w:rPr>
          <w:sz w:val="21"/>
          <w:szCs w:val="21"/>
        </w:rPr>
        <w:t xml:space="preserve"> (fiscal 2026), and net debt to EBITDA improved from 0.76 time to 0.62 time over the same span. A company that continues to delever through its own margin trough is demonstrating balance-sheet discipline, not merely reporting a good year.</w:t>
      </w:r>
    </w:p>
    <w:p>
      <w:pPr>
        <w:spacing w:after="160"/>
      </w:pPr>
      <w:r>
        <w:rPr>
          <w:sz w:val="21"/>
          <w:szCs w:val="21"/>
        </w:rPr>
        <w:t xml:space="preserve">The fiscal 2026 result also absorbed a large one-off: consolidated exceptional items of Rs 1,033.51 crore, of which Rs 1,000.12 crore is an impairment of property, plant, equipment and intangibles at Apollo Tyres (NL) B.V., following the Board's decision to </w:t>
      </w:r>
      <w:r>
        <w:rPr>
          <w:b/>
          <w:bCs/>
          <w:sz w:val="21"/>
          <w:szCs w:val="21"/>
        </w:rPr>
        <w:t xml:space="preserve">discontinue tyre manufacturing at the Enschede plant</w:t>
      </w:r>
      <w:r>
        <w:rPr>
          <w:sz w:val="21"/>
          <w:szCs w:val="21"/>
        </w:rPr>
        <w:t xml:space="preserve">. This is disclosed as a Key Audit Matter in the fiscal 2026 auditor's report — the audit opinion itself carries no qualification — and reflects significant judgement in estimating the recoverable value of the discontinued assets. </w:t>
      </w:r>
      <w:r>
        <w:rPr>
          <w:b/>
          <w:bCs/>
          <w:sz w:val="21"/>
          <w:szCs w:val="21"/>
        </w:rPr>
        <w:t xml:space="preserve">For a rating purpose, the closure is read as the answer to the weakness it addresses, not as a new one</w:t>
      </w:r>
      <w:r>
        <w:rPr>
          <w:sz w:val="21"/>
          <w:szCs w:val="21"/>
        </w:rPr>
        <w:t xml:space="preserve">: it removes a loss-making European manufacturing line from the group's ongoing cost base, and the one-time charge that recognises this is precisely the kind of decisive corrective action that supports, rather than undermines, the forward credit view — consistent with gearing continuing to improve through the very year the charge was taken.</w:t>
      </w:r>
    </w:p>
    <w:p>
      <w:pPr>
        <w:spacing w:after="160"/>
      </w:pPr>
      <w:r>
        <w:rPr>
          <w:sz w:val="21"/>
          <w:szCs w:val="21"/>
        </w:rPr>
        <w:t xml:space="preserve">Standalone (India) profitability is stronger still and shows no trough at all in profit terms: standalone PAT rose from Rs 629 crore (fiscal 2025) to Rs 1,852 crore (fiscal 2026), with standalone gearing at a low 0.23 time and interest coverage of 9.70 times. The European restructuring cost sits entirely at the consolidated/subsidiary level and has not touched the Indian parent's own balance sheet.</w:t>
      </w:r>
    </w:p>
    <w:p>
      <w:pPr>
        <w:spacing w:after="160"/>
      </w:pPr>
      <w:r>
        <w:rPr>
          <w:b/>
          <w:bCs/>
          <w:sz w:val="21"/>
          <w:szCs w:val="21"/>
        </w:rPr>
        <w:t xml:space="preserve">The 'Stable' outlook reflects this analysis's opinion that Apollo Tyres' improving leverage trajectory, its large and diversified manufacturing base, and the now-completed European footprint rationalisation together support the current rating level without near-term pressure</w:t>
      </w:r>
      <w:r>
        <w:rPr>
          <w:sz w:val="21"/>
          <w:szCs w:val="21"/>
        </w:rPr>
        <w:t xml:space="preserve">, while raw-material cost volatility remains the principal monitorable given the fiscal 2025 experience.</w:t>
      </w:r>
    </w:p>
    <w:p>
      <w:pPr>
        <w:pStyle w:val="Heading1"/>
        <w:pBdr>
          <w:bottom w:val="single" w:color="0E7C86" w:sz="8" w:space="4"/>
        </w:pBdr>
        <w:spacing w:after="160" w:before="320"/>
      </w:pPr>
      <w:r>
        <w:rPr>
          <w:b/>
          <w:bCs/>
          <w:color w:val="1B2A4A"/>
          <w:sz w:val="30"/>
          <w:szCs w:val="30"/>
        </w:rPr>
        <w:t xml:space="preserve">Analytical Approach</w:t>
      </w:r>
    </w:p>
    <w:p>
      <w:pPr>
        <w:spacing w:after="160"/>
      </w:pPr>
      <w:r>
        <w:rPr>
          <w:sz w:val="21"/>
          <w:szCs w:val="21"/>
        </w:rPr>
        <w:t xml:space="preserve">Assessment is on </w:t>
      </w:r>
      <w:r>
        <w:rPr>
          <w:b/>
          <w:bCs/>
          <w:sz w:val="21"/>
          <w:szCs w:val="21"/>
        </w:rPr>
        <w:t xml:space="preserve">both standalone and consolidated bases</w:t>
      </w:r>
      <w:r>
        <w:rPr>
          <w:sz w:val="21"/>
          <w:szCs w:val="21"/>
        </w:rPr>
        <w:t xml:space="preserve">; consolidated figures are used for the headline ratios and the rating view, since the European restructuring — the year's most consequential event — sits entirely at the subsidiary level.</w:t>
      </w:r>
    </w:p>
    <w:p>
      <w:pPr>
        <w:spacing w:after="160"/>
      </w:pPr>
      <w:r>
        <w:rPr>
          <w:b/>
          <w:bCs/>
          <w:sz w:val="21"/>
          <w:szCs w:val="21"/>
        </w:rPr>
        <w:t xml:space="preserve">Methodology.</w:t>
      </w:r>
      <w:r>
        <w:rPr>
          <w:sz w:val="21"/>
          <w:szCs w:val="21"/>
        </w:rPr>
        <w:t xml:space="preserve"> CRISIL Ratings methodology for manufacturing and corporate service sector companies — Section I (general approach) and </w:t>
      </w:r>
      <w:r>
        <w:rPr>
          <w:b/>
          <w:bCs/>
          <w:sz w:val="21"/>
          <w:szCs w:val="21"/>
        </w:rPr>
        <w:t xml:space="preserve">Section IV (financial ratios)</w:t>
      </w:r>
      <w:r>
        <w:rPr>
          <w:sz w:val="21"/>
          <w:szCs w:val="21"/>
        </w:rPr>
        <w:t xml:space="preserve">; </w:t>
      </w:r>
      <w:r>
        <w:rPr>
          <w:rFonts w:ascii="Consolas" w:cs="Consolas" w:eastAsia="Consolas" w:hAnsi="Consolas"/>
          <w:sz w:val="21"/>
          <w:szCs w:val="21"/>
        </w:rPr>
        <w:t xml:space="preserve">basics-of-ratings</w:t>
      </w:r>
      <w:r>
        <w:rPr>
          <w:sz w:val="21"/>
          <w:szCs w:val="21"/>
        </w:rPr>
        <w:t xml:space="preserve">; </w:t>
      </w:r>
      <w:r>
        <w:rPr>
          <w:rFonts w:ascii="Consolas" w:cs="Consolas" w:eastAsia="Consolas" w:hAnsi="Consolas"/>
          <w:sz w:val="21"/>
          <w:szCs w:val="21"/>
        </w:rPr>
        <w:t xml:space="preserve">criteria-for-consolidation</w:t>
      </w:r>
      <w:r>
        <w:rPr>
          <w:sz w:val="21"/>
          <w:szCs w:val="21"/>
        </w:rPr>
        <w:t xml:space="preserve">. </w:t>
      </w:r>
      <w:r>
        <w:rPr>
          <w:b/>
          <w:bCs/>
          <w:sz w:val="21"/>
          <w:szCs w:val="21"/>
        </w:rPr>
        <w:t xml:space="preserve">Section VII (automotive and automotive component companies)</w:t>
      </w:r>
      <w:r>
        <w:rPr>
          <w:sz w:val="21"/>
          <w:szCs w:val="21"/>
        </w:rPr>
        <w:t xml:space="preserve"> was checked and found </w:t>
      </w:r>
      <w:r>
        <w:rPr>
          <w:b/>
          <w:bCs/>
          <w:sz w:val="21"/>
          <w:szCs w:val="21"/>
        </w:rPr>
        <w:t xml:space="preserve">not applicable in name</w:t>
      </w:r>
      <w:r>
        <w:rPr>
          <w:sz w:val="21"/>
          <w:szCs w:val="21"/>
        </w:rPr>
        <w:t xml:space="preserve"> — its stated scope covers auto component suppliers, two-wheeler OEMs, commercial-vehicle OEMs and tractor manufacturers, and does not separately name tyre manufacturers; confirmed against </w:t>
      </w:r>
      <w:r>
        <w:rPr>
          <w:rFonts w:ascii="Consolas" w:cs="Consolas" w:eastAsia="Consolas" w:hAnsi="Consolas"/>
          <w:sz w:val="21"/>
          <w:szCs w:val="21"/>
        </w:rPr>
        <w:t xml:space="preserve">Knowledge Base/02_Sector_Routing_Map.md</w:t>
      </w:r>
      <w:r>
        <w:rPr>
          <w:sz w:val="21"/>
          <w:szCs w:val="21"/>
        </w:rPr>
        <w:t xml:space="preserve">, which routes Apollo Tyres to the manufacturing master criteria alone, consistent with what was pre-selected for this case. No change to the methodology set proposed.</w:t>
      </w:r>
    </w:p>
    <w:p>
      <w:pPr>
        <w:spacing w:after="160"/>
      </w:pPr>
      <w:r>
        <w:rPr>
          <w:b/>
          <w:bCs/>
          <w:sz w:val="21"/>
          <w:szCs w:val="21"/>
        </w:rPr>
        <w:t xml:space="preserve">Parent/group treatment.</w:t>
      </w:r>
      <w:r>
        <w:rPr>
          <w:sz w:val="21"/>
          <w:szCs w:val="21"/>
        </w:rPr>
        <w:t xml:space="preserve"> Apollo Tyres Limited is the ultimate listed parent of its consolidated group; no upstream parent-support notching applies. All 33 subsidiaries are wholly (100%) owned and fully consolidated per </w:t>
      </w:r>
      <w:r>
        <w:rPr>
          <w:rFonts w:ascii="Consolas" w:cs="Consolas" w:eastAsia="Consolas" w:hAnsi="Consolas"/>
          <w:sz w:val="21"/>
          <w:szCs w:val="21"/>
        </w:rPr>
        <w:t xml:space="preserve">criteria-for-consolidation</w:t>
      </w:r>
      <w:r>
        <w:rPr>
          <w:sz w:val="21"/>
          <w:szCs w:val="21"/>
        </w:rPr>
        <w:t xml:space="preserve">.</w:t>
      </w:r>
    </w:p>
    <w:p>
      <w:pPr>
        <w:pStyle w:val="Heading1"/>
        <w:pBdr>
          <w:bottom w:val="single" w:color="0E7C86" w:sz="8" w:space="4"/>
        </w:pBdr>
        <w:spacing w:after="160" w:before="320"/>
      </w:pPr>
      <w:r>
        <w:rPr>
          <w:b/>
          <w:bCs/>
          <w:color w:val="1B2A4A"/>
          <w:sz w:val="30"/>
          <w:szCs w:val="30"/>
        </w:rPr>
        <w:t xml:space="preserve">Key Rating Drivers — Strengths</w:t>
      </w:r>
    </w:p>
    <w:p>
      <w:pPr>
        <w:spacing w:after="160"/>
      </w:pPr>
      <w:r>
        <w:rPr>
          <w:b/>
          <w:bCs/>
          <w:sz w:val="21"/>
          <w:szCs w:val="21"/>
        </w:rPr>
        <w:t xml:space="preserve">Large-scale, globally diversified tyre manufacturing position:</w:t>
      </w:r>
      <w:r>
        <w:rPr>
          <w:sz w:val="21"/>
          <w:szCs w:val="21"/>
        </w:rPr>
        <w:t xml:space="preserve"> 732,097 MT of production in fiscal 2026, sold across more than 100 countries under the Apollo and Vredestein brands, with manufacturing across India, Europe (Netherlands, Hungary), and a sales/distribution footprint spanning the US, South Africa, Thailand, the Middle East and Singapore. This scale and geographic diversification is a natural hedge against any single market's cyclicality.</w:t>
      </w:r>
    </w:p>
    <w:p>
      <w:pPr>
        <w:spacing w:after="160"/>
      </w:pPr>
      <w:r>
        <w:rPr>
          <w:b/>
          <w:bCs/>
          <w:sz w:val="21"/>
          <w:szCs w:val="21"/>
        </w:rPr>
        <w:t xml:space="preserve">Consolidated leverage improved in every year of the review period, including through a margin trough:</w:t>
      </w:r>
      <w:r>
        <w:rPr>
          <w:sz w:val="21"/>
          <w:szCs w:val="21"/>
        </w:rPr>
        <w:t xml:space="preserve"> gearing fell from 0.35 time (fiscal 2024) to 0.22 time (fiscal 2026), and net debt to EBITDA improved from 0.76 time to 0.62 time over the same span — continuing to delever even in fiscal 2025, when PBDIT margin dropped to 14.01% on a raw-material cost-price mismatch, is a stronger signal of financial discipline than the fiscal 2026 recovery figures alone.</w:t>
      </w:r>
    </w:p>
    <w:p>
      <w:pPr>
        <w:spacing w:after="160"/>
      </w:pPr>
      <w:r>
        <w:rPr>
          <w:b/>
          <w:bCs/>
          <w:sz w:val="21"/>
          <w:szCs w:val="21"/>
        </w:rPr>
        <w:t xml:space="preserve">Standalone (Indian) operations show sustained strength with no comparable margin trough:</w:t>
      </w:r>
      <w:r>
        <w:rPr>
          <w:sz w:val="21"/>
          <w:szCs w:val="21"/>
        </w:rPr>
        <w:t xml:space="preserve"> standalone PAT of Rs 1,852 crore in fiscal 2026 (up from Rs 629 crore in fiscal 2025), standalone gearing of 0.23 time and interest coverage of 9.70 times — evidencing that the group's core Indian manufacturing base, its largest segment, has not been affected by the European weakness.</w:t>
      </w:r>
    </w:p>
    <w:p>
      <w:pPr>
        <w:spacing w:after="160"/>
      </w:pPr>
      <w:r>
        <w:rPr>
          <w:b/>
          <w:bCs/>
          <w:sz w:val="21"/>
          <w:szCs w:val="21"/>
        </w:rPr>
        <w:t xml:space="preserve">Decisive, completed corrective action on the group's weakest asset:</w:t>
      </w:r>
      <w:r>
        <w:rPr>
          <w:sz w:val="21"/>
          <w:szCs w:val="21"/>
        </w:rPr>
        <w:t xml:space="preserve"> the Board's decision to discontinue tyre manufacturing at the Enschede (Netherlands) plant, recognised through a Rs 1,000.12 crore impairment in fiscal 2026, removes a loss-making European manufacturing line rather than allowing it to continue as an open drag on group profitability.</w:t>
      </w:r>
    </w:p>
    <w:p>
      <w:pPr>
        <w:spacing w:after="160"/>
      </w:pPr>
      <w:r>
        <w:rPr>
          <w:b/>
          <w:bCs/>
          <w:sz w:val="21"/>
          <w:szCs w:val="21"/>
        </w:rPr>
        <w:t xml:space="preserve">Continuing radialisation trend in the Indian commercial-vehicle segment</w:t>
      </w:r>
      <w:r>
        <w:rPr>
          <w:sz w:val="21"/>
          <w:szCs w:val="21"/>
        </w:rPr>
        <w:t xml:space="preserve">, a structural industry tailwind the company's own MD&amp;A identifies as an opportunity supported by its established Truck Bus Radial (TBR) brand equity — a multi-year direction, not a single-year data point.</w:t>
      </w:r>
    </w:p>
    <w:p>
      <w:pPr>
        <w:pStyle w:val="Heading1"/>
        <w:pBdr>
          <w:bottom w:val="single" w:color="0E7C86" w:sz="8" w:space="4"/>
        </w:pBdr>
        <w:spacing w:after="160" w:before="320"/>
      </w:pPr>
      <w:r>
        <w:rPr>
          <w:b/>
          <w:bCs/>
          <w:color w:val="1B2A4A"/>
          <w:sz w:val="30"/>
          <w:szCs w:val="30"/>
        </w:rPr>
        <w:t xml:space="preserve">Key Rating Drivers — Weaknesses</w:t>
      </w:r>
    </w:p>
    <w:p>
      <w:pPr>
        <w:spacing w:after="160"/>
      </w:pPr>
      <w:r>
        <w:rPr>
          <w:b/>
          <w:bCs/>
          <w:sz w:val="21"/>
          <w:szCs w:val="21"/>
        </w:rPr>
        <w:t xml:space="preserve">Demonstrated sensitivity to raw-material cost-price mismatches:</w:t>
      </w:r>
      <w:r>
        <w:rPr>
          <w:sz w:val="21"/>
          <w:szCs w:val="21"/>
        </w:rPr>
        <w:t xml:space="preserve"> the fiscal 2025 margin trough (consolidated PBDIT margin falling from 18.13% to 14.01%) shows the group's profitability remains exposed to natural rubber, synthetic rubber and carbon-black cost movements that are not always immediately recoverable in pricing. Searched (</w:t>
      </w:r>
      <w:r>
        <w:rPr>
          <w:rFonts w:ascii="Consolas" w:cs="Consolas" w:eastAsia="Consolas" w:hAnsi="Consolas"/>
          <w:sz w:val="21"/>
          <w:szCs w:val="21"/>
        </w:rPr>
        <w:t xml:space="preserve">sector assumptions</w:t>
      </w:r>
      <w:r>
        <w:rPr>
          <w:sz w:val="21"/>
          <w:szCs w:val="21"/>
        </w:rPr>
        <w:t xml:space="preserve">, </w:t>
      </w:r>
      <w:r>
        <w:rPr>
          <w:rFonts w:ascii="Consolas" w:cs="Consolas" w:eastAsia="Consolas" w:hAnsi="Consolas"/>
          <w:sz w:val="21"/>
          <w:szCs w:val="21"/>
        </w:rPr>
        <w:t xml:space="preserve">commodity price outlook</w:t>
      </w:r>
      <w:r>
        <w:rPr>
          <w:sz w:val="21"/>
          <w:szCs w:val="21"/>
        </w:rPr>
        <w:t xml:space="preserve">, </w:t>
      </w:r>
      <w:r>
        <w:rPr>
          <w:rFonts w:ascii="Consolas" w:cs="Consolas" w:eastAsia="Consolas" w:hAnsi="Consolas"/>
          <w:sz w:val="21"/>
          <w:szCs w:val="21"/>
        </w:rPr>
        <w:t xml:space="preserve">rubber price forecast</w:t>
      </w:r>
      <w:r>
        <w:rPr>
          <w:sz w:val="21"/>
          <w:szCs w:val="21"/>
        </w:rPr>
        <w:t xml:space="preserve">) and confirmed absent from the document set — no sector-assumptions document was uploaded for this case (Step 1 gap) — so how durable the fiscal 2026 recovery is cannot be independently assessed from forward guidance.</w:t>
      </w:r>
    </w:p>
    <w:p>
      <w:pPr>
        <w:spacing w:after="160"/>
      </w:pPr>
      <w:r>
        <w:rPr>
          <w:b/>
          <w:bCs/>
          <w:sz w:val="21"/>
          <w:szCs w:val="21"/>
        </w:rPr>
        <w:t xml:space="preserve">European segment restructuring, while now decisive, evidences a business that required correction:</w:t>
      </w:r>
      <w:r>
        <w:rPr>
          <w:sz w:val="21"/>
          <w:szCs w:val="21"/>
        </w:rPr>
        <w:t xml:space="preserve"> the scale of the Enschede impairment (Rs 1,000.12 crore, roughly 6% of consolidated net worth) indicates the plant's underlying economics had deteriorated materially before the closure decision was taken. The document set does not separately disclose the discontinued plant's own prior-year operating losses (only the group-level Europe segment, not plant-level, is disclosed) — searched and confirmed absent — so the full quantum of the drag this removes cannot be independently sized.</w:t>
      </w:r>
    </w:p>
    <w:p>
      <w:pPr>
        <w:spacing w:after="160"/>
      </w:pPr>
      <w:r>
        <w:rPr>
          <w:b/>
          <w:bCs/>
          <w:sz w:val="21"/>
          <w:szCs w:val="21"/>
        </w:rPr>
        <w:t xml:space="preserve">Contingent liabilities, while declining, remain a monitorable:</w:t>
      </w:r>
      <w:r>
        <w:rPr>
          <w:sz w:val="21"/>
          <w:szCs w:val="21"/>
        </w:rPr>
        <w:t xml:space="preserve"> standalone claims not acknowledged as debt of approximately Rs 440.55 crore (fiscal 2026) — down sharply from approximately Rs 1,164.02 crore in fiscal 2025, mainly on a large fall in the excise/customs/GST litigation line — are assessed as manageable given management's stated expectation of no outflow, but the year-on-year volatility in this line is itself worth monitoring.</w:t>
      </w:r>
    </w:p>
    <w:p>
      <w:pPr>
        <w:pStyle w:val="Heading1"/>
        <w:pBdr>
          <w:bottom w:val="single" w:color="0E7C86" w:sz="8" w:space="4"/>
        </w:pBdr>
        <w:spacing w:after="160" w:before="320"/>
      </w:pPr>
      <w:r>
        <w:rPr>
          <w:b/>
          <w:bCs/>
          <w:color w:val="1B2A4A"/>
          <w:sz w:val="30"/>
          <w:szCs w:val="30"/>
        </w:rPr>
        <w:t xml:space="preserve">Liquidity: Strong</w:t>
      </w:r>
    </w:p>
    <w:p>
      <w:pPr>
        <w:spacing w:after="160"/>
      </w:pPr>
      <w:r>
        <w:rPr>
          <w:b/>
          <w:bCs/>
          <w:sz w:val="21"/>
          <w:szCs w:val="21"/>
        </w:rPr>
        <w:t xml:space="preserve">Sources (standalone, ~12 months):</w:t>
      </w:r>
      <w:r>
        <w:rPr>
          <w:sz w:val="21"/>
          <w:szCs w:val="21"/>
        </w:rPr>
        <w:t xml:space="preserve"> cash and bank balances of Rs 448.15 crore (fiscal 2026); strong operating cash generation given the fiscal 2026 PAT recovery to Rs 1,852 crore; shareholder-approved headroom of up to Rs 1,000 crore for further NCD issuance (approved 16 January 2026, not yet issued as at the annual-report date).</w:t>
      </w:r>
    </w:p>
    <w:p>
      <w:pPr>
        <w:spacing w:after="160"/>
      </w:pPr>
      <w:r>
        <w:rPr>
          <w:b/>
          <w:bCs/>
          <w:sz w:val="21"/>
          <w:szCs w:val="21"/>
        </w:rPr>
        <w:t xml:space="preserve">Claims:</w:t>
      </w:r>
      <w:r>
        <w:rPr>
          <w:sz w:val="21"/>
          <w:szCs w:val="21"/>
        </w:rPr>
        <w:t xml:space="preserve"> current maturities of long-term debt of approximately Rs 328.50 crore (NCD bullet maturity of Rs 115.00 crore plus term-loan current maturities of Rs 213.50 crore, note 7); ongoing working-capital requirements; a consolidated capex outflow of Rs 1,403.00 crore in fiscal 2026, funded from operating cash flow given the continuing deleveraging trend.</w:t>
      </w:r>
    </w:p>
    <w:p>
      <w:pPr>
        <w:spacing w:after="160"/>
      </w:pPr>
      <w:r>
        <w:rPr>
          <w:sz w:val="21"/>
          <w:szCs w:val="21"/>
        </w:rPr>
        <w:t xml:space="preserve">Standalone gearing of 0.23 time and interest coverage of 9.70 times (fiscal 2026) provide ample headroom, and the multi-year improving gearing trend evidences sustained deleveraging through both strong and weak margin years, not a single favourable snapshot.</w:t>
      </w:r>
    </w:p>
    <w:p>
      <w:pPr>
        <w:pStyle w:val="Heading1"/>
        <w:pBdr>
          <w:bottom w:val="single" w:color="0E7C86" w:sz="8" w:space="4"/>
        </w:pBdr>
        <w:spacing w:after="160" w:before="320"/>
      </w:pPr>
      <w:r>
        <w:rPr>
          <w:b/>
          <w:bCs/>
          <w:color w:val="1B2A4A"/>
          <w:sz w:val="30"/>
          <w:szCs w:val="30"/>
        </w:rPr>
        <w:t xml:space="preserve">ESG Profile</w:t>
      </w:r>
    </w:p>
    <w:p>
      <w:pPr>
        <w:spacing w:after="160"/>
      </w:pPr>
      <w:r>
        <w:rPr>
          <w:sz w:val="21"/>
          <w:szCs w:val="21"/>
        </w:rPr>
        <w:t xml:space="preserve">The ESG profile of Apollo Tyres Limited supports its credit risk profile.</w:t>
      </w:r>
    </w:p>
    <w:p>
      <w:pPr>
        <w:spacing w:after="160"/>
      </w:pPr>
      <w:r>
        <w:rPr>
          <w:sz w:val="21"/>
          <w:szCs w:val="21"/>
        </w:rPr>
        <w:t xml:space="preserve">Tyre manufacturing carries environmental exposure through raw-material sourcing (natural rubber supply-chain sustainability), energy-intensive processing, and end-of-life tyre disposal, alongside social exposure tied to a large multi-country manufacturing workforce. Apollo's own disclosures show active management of both.</w:t>
      </w:r>
    </w:p>
    <w:p>
      <w:pPr>
        <w:spacing w:after="160"/>
      </w:pPr>
      <w:r>
        <w:rPr>
          <w:b/>
          <w:bCs/>
          <w:sz w:val="21"/>
          <w:szCs w:val="21"/>
        </w:rPr>
        <w:t xml:space="preserve">ESG highlights:</w:t>
      </w:r>
    </w:p>
    <w:p>
      <w:pPr>
        <w:pStyle w:val="ListParagraph"/>
        <w:numPr>
          <w:ilvl w:val="0"/>
          <w:numId w:val="1"/>
        </w:numPr>
        <w:spacing w:after="100"/>
      </w:pPr>
      <w:r>
        <w:rPr>
          <w:b/>
          <w:bCs/>
          <w:sz w:val="21"/>
          <w:szCs w:val="21"/>
        </w:rPr>
        <w:t xml:space="preserve">Sustainable sourcing:</w:t>
      </w:r>
      <w:r>
        <w:rPr>
          <w:sz w:val="21"/>
          <w:szCs w:val="21"/>
        </w:rPr>
        <w:t xml:space="preserve"> 97% of natural-rubber suppliers have signed the Apollo Sustainable Natural Rubber Policy (ASNRP); 78% of upstream suppliers have signed the Apollo Tyres Sustainable Procurement Policy (ATSPP).</w:t>
      </w:r>
    </w:p>
    <w:p>
      <w:pPr>
        <w:pStyle w:val="ListParagraph"/>
        <w:numPr>
          <w:ilvl w:val="0"/>
          <w:numId w:val="1"/>
        </w:numPr>
        <w:spacing w:after="100"/>
      </w:pPr>
      <w:r>
        <w:rPr>
          <w:b/>
          <w:bCs/>
          <w:sz w:val="21"/>
          <w:szCs w:val="21"/>
        </w:rPr>
        <w:t xml:space="preserve">Employer recognition:</w:t>
      </w:r>
      <w:r>
        <w:rPr>
          <w:sz w:val="21"/>
          <w:szCs w:val="21"/>
        </w:rPr>
        <w:t xml:space="preserve"> retained Top Employer status in fiscal 2026 across India, Hungary, the Netherlands and the UK.</w:t>
      </w:r>
    </w:p>
    <w:p>
      <w:pPr>
        <w:pStyle w:val="ListParagraph"/>
        <w:numPr>
          <w:ilvl w:val="0"/>
          <w:numId w:val="1"/>
        </w:numPr>
        <w:spacing w:after="100"/>
      </w:pPr>
      <w:r>
        <w:rPr>
          <w:b/>
          <w:bCs/>
          <w:sz w:val="21"/>
          <w:szCs w:val="21"/>
        </w:rPr>
        <w:t xml:space="preserve">Safety:</w:t>
      </w:r>
      <w:r>
        <w:rPr>
          <w:sz w:val="21"/>
          <w:szCs w:val="21"/>
        </w:rPr>
        <w:t xml:space="preserve"> the rate of recordable work-related injuries improved to 0.74 (from 0.78 the previous year); HSE engagement index of 4,500 per million hours.</w:t>
      </w:r>
    </w:p>
    <w:p>
      <w:pPr>
        <w:pStyle w:val="ListParagraph"/>
        <w:numPr>
          <w:ilvl w:val="0"/>
          <w:numId w:val="1"/>
        </w:numPr>
        <w:spacing w:after="100"/>
      </w:pPr>
      <w:r>
        <w:rPr>
          <w:b/>
          <w:bCs/>
          <w:sz w:val="21"/>
          <w:szCs w:val="21"/>
        </w:rPr>
        <w:t xml:space="preserve">Social:</w:t>
      </w:r>
      <w:r>
        <w:rPr>
          <w:sz w:val="21"/>
          <w:szCs w:val="21"/>
        </w:rPr>
        <w:t xml:space="preserve"> nearly 15 million CSR beneficiaries; customer complaint resolution satisfaction score of 74%.</w:t>
      </w:r>
    </w:p>
    <w:p>
      <w:pPr>
        <w:pStyle w:val="ListParagraph"/>
        <w:numPr>
          <w:ilvl w:val="0"/>
          <w:numId w:val="1"/>
        </w:numPr>
        <w:spacing w:after="100"/>
      </w:pPr>
      <w:r>
        <w:rPr>
          <w:b/>
          <w:bCs/>
          <w:sz w:val="21"/>
          <w:szCs w:val="21"/>
        </w:rPr>
        <w:t xml:space="preserve">Governance:</w:t>
      </w:r>
      <w:r>
        <w:rPr>
          <w:sz w:val="21"/>
          <w:szCs w:val="21"/>
        </w:rPr>
        <w:t xml:space="preserve"> the standalone and consolidated financial statements each carry an unmodified audit opinion; Key Audit Matters are limited to valuation/impairment judgements (goodwill and indefinite-life intangibles, and the Enschede asset impairment) rather than any qualification or going-concern flag.</w:t>
      </w:r>
    </w:p>
    <w:p>
      <w:pPr>
        <w:spacing w:after="160"/>
      </w:pPr>
      <w:r>
        <w:rPr>
          <w:sz w:val="21"/>
          <w:szCs w:val="21"/>
        </w:rPr>
        <w:t xml:space="preserve">ESG considerations are increasingly weighted by global tyre-industry customers and lenders, particularly around natural-rubber supply-chain traceability; Apollo's supplier-policy signature rates support continued access to both domestic and international funding.</w:t>
      </w:r>
    </w:p>
    <w:p>
      <w:pPr>
        <w:pStyle w:val="Heading1"/>
        <w:pBdr>
          <w:bottom w:val="single" w:color="0E7C86" w:sz="8" w:space="4"/>
        </w:pBdr>
        <w:spacing w:after="160" w:before="320"/>
      </w:pPr>
      <w:r>
        <w:rPr>
          <w:b/>
          <w:bCs/>
          <w:color w:val="1B2A4A"/>
          <w:sz w:val="30"/>
          <w:szCs w:val="30"/>
        </w:rPr>
        <w:t xml:space="preserve">Outlook: Stable</w:t>
      </w:r>
    </w:p>
    <w:p>
      <w:pPr>
        <w:spacing w:after="160"/>
      </w:pPr>
      <w:r>
        <w:rPr>
          <w:sz w:val="21"/>
          <w:szCs w:val="21"/>
        </w:rPr>
        <w:t xml:space="preserve">The Stable outlook reflects this analysis's opinion that Apollo Tyres' improving consolidated leverage trajectory, its large and geographically diversified manufacturing base, and the now-completed European footprint rationalisation together support the current rating level, with raw-material cost volatility as the principal factor to monitor going forward.</w:t>
      </w:r>
    </w:p>
    <w:p>
      <w:pPr>
        <w:pStyle w:val="Heading1"/>
        <w:pBdr>
          <w:bottom w:val="single" w:color="0E7C86" w:sz="8" w:space="4"/>
        </w:pBdr>
        <w:spacing w:after="160" w:before="320"/>
      </w:pPr>
      <w:r>
        <w:rPr>
          <w:b/>
          <w:bCs/>
          <w:color w:val="1B2A4A"/>
          <w:sz w:val="30"/>
          <w:szCs w:val="30"/>
        </w:rPr>
        <w:t xml:space="preserve">Rating sensitivity factors</w:t>
      </w:r>
    </w:p>
    <w:p>
      <w:pPr>
        <w:spacing w:after="160"/>
      </w:pPr>
      <w:r>
        <w:rPr>
          <w:b/>
          <w:bCs/>
          <w:sz w:val="21"/>
          <w:szCs w:val="21"/>
        </w:rPr>
        <w:t xml:space="preserve">Positive factors</w:t>
      </w:r>
      <w:r>
        <w:rPr>
          <w:sz w:val="21"/>
          <w:szCs w:val="21"/>
        </w:rPr>
        <w:t xml:space="preserve"> — Sustained consolidated PBDIT margin above 16-17% alongside gearing sustained below 0.20 time </w:t>
      </w:r>
      <w:r>
        <w:rPr>
          <w:b/>
          <w:bCs/>
          <w:sz w:val="21"/>
          <w:szCs w:val="21"/>
        </w:rPr>
        <w:t xml:space="preserve">on a sustained basis</w:t>
      </w:r>
      <w:r>
        <w:rPr>
          <w:sz w:val="21"/>
          <w:szCs w:val="21"/>
        </w:rPr>
        <w:t xml:space="preserve">, evidencing that the fiscal 2026 recovery and the European rationalisation together produce a structurally stronger margin profile than the pre-restructuring base.</w:t>
      </w:r>
    </w:p>
    <w:p>
      <w:pPr>
        <w:spacing w:after="160"/>
      </w:pPr>
      <w:r>
        <w:rPr>
          <w:b/>
          <w:bCs/>
          <w:sz w:val="21"/>
          <w:szCs w:val="21"/>
        </w:rPr>
        <w:t xml:space="preserve">Negative factors</w:t>
      </w:r>
      <w:r>
        <w:rPr>
          <w:sz w:val="21"/>
          <w:szCs w:val="21"/>
        </w:rPr>
        <w:t xml:space="preserve"> — Downward pressure could arise </w:t>
      </w:r>
      <w:r>
        <w:rPr>
          <w:b/>
          <w:bCs/>
          <w:sz w:val="21"/>
          <w:szCs w:val="21"/>
        </w:rPr>
        <w:t xml:space="preserve">on a sustained basis</w:t>
      </w:r>
      <w:r>
        <w:rPr>
          <w:sz w:val="21"/>
          <w:szCs w:val="21"/>
        </w:rPr>
        <w:t xml:space="preserve"> from: (a) a recurrence of the fiscal 2025 raw-material cost-price mismatch without timely pass-through; (b) consolidated gearing rising back above 0.35 time or interest coverage falling below 7 times; (c) further, unplanned restructuring or impairment charges in the European or any other segment, suggesting the Enschede action was insufficient rather than decisive; (d) a material adverse change in the promoter group's ownership or stated commitment.</w:t>
      </w:r>
    </w:p>
    <w:p>
      <w:pPr>
        <w:pStyle w:val="Heading1"/>
        <w:pBdr>
          <w:bottom w:val="single" w:color="0E7C86" w:sz="8" w:space="4"/>
        </w:pBdr>
        <w:spacing w:after="160" w:before="320"/>
      </w:pPr>
      <w:r>
        <w:rPr>
          <w:b/>
          <w:bCs/>
          <w:color w:val="1B2A4A"/>
          <w:sz w:val="30"/>
          <w:szCs w:val="30"/>
        </w:rPr>
        <w:t xml:space="preserve">About the Company</w:t>
      </w:r>
    </w:p>
    <w:p>
      <w:pPr>
        <w:spacing w:after="160"/>
      </w:pPr>
      <w:r>
        <w:rPr>
          <w:sz w:val="21"/>
          <w:szCs w:val="21"/>
        </w:rPr>
        <w:t xml:space="preserve">Apollo Tyres Limited, incorporated in 1972 and headquartered in Gurugram, is a global tyre manufacturer operating under the Apollo and Vredestein brands, with manufacturing operations in India and Europe and a sales presence in more than 100 countries. The Kanwar family (Promoter Group) held 36.93% of the company's paid-up equity as at the fiscal 2026 record date, with the balance held by public and institutional shareholders. The company reported consolidated revenue of Rs 28,470.60 crore and standalone revenue of Rs 19,816.23 crore for fiscal 2026. During fiscal 2026, wholly-owned subsidiary Apollo Tyres (NL) B.V. discontinued tyre manufacturing at its Enschede, Netherlands plant.</w:t>
      </w:r>
    </w:p>
    <w:p>
      <w:pPr>
        <w:pStyle w:val="Heading1"/>
        <w:pBdr>
          <w:bottom w:val="single" w:color="0E7C86" w:sz="8" w:space="4"/>
        </w:pBdr>
        <w:spacing w:after="160" w:before="320"/>
      </w:pPr>
      <w:r>
        <w:rPr>
          <w:b/>
          <w:bCs/>
          <w:color w:val="1B2A4A"/>
          <w:sz w:val="30"/>
          <w:szCs w:val="30"/>
        </w:rPr>
        <w:t xml:space="preserve">Key Financial Indicators (consolidated)</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2340"/>
        <w:gridCol w:w="2340"/>
        <w:gridCol w:w="2340"/>
        <w:gridCol w:w="2340"/>
      </w:tblGrid>
      <w:tr>
        <w:trPr>
          <w:tblHeader/>
        </w:trPr>
        <w:tc>
          <w:tcPr>
            <w:tcW w:type="dxa" w:w="2340"/>
            <w:shd w:fill="1B2A4A" w:val="clear"/>
            <w:tcMar>
              <w:top w:type="dxa" w:w="60"/>
              <w:left w:type="dxa" w:w="100"/>
              <w:bottom w:type="dxa" w:w="60"/>
              <w:right w:type="dxa" w:w="100"/>
            </w:tcMar>
          </w:tcPr>
          <w:p>
            <w:r>
              <w:rPr>
                <w:b/>
                <w:bCs/>
                <w:color w:val="FFFFFF"/>
                <w:sz w:val="19"/>
                <w:szCs w:val="19"/>
              </w:rPr>
              <w:t xml:space="preserve">Apollo Tyres Limited</w:t>
            </w:r>
          </w:p>
        </w:tc>
        <w:tc>
          <w:tcPr>
            <w:tcW w:type="dxa" w:w="2340"/>
            <w:shd w:fill="1B2A4A" w:val="clear"/>
            <w:tcMar>
              <w:top w:type="dxa" w:w="60"/>
              <w:left w:type="dxa" w:w="100"/>
              <w:bottom w:type="dxa" w:w="60"/>
              <w:right w:type="dxa" w:w="100"/>
            </w:tcMar>
          </w:tcPr>
          <w:p>
            <w:r>
              <w:rPr>
                <w:b/>
                <w:bCs/>
                <w:color w:val="FFFFFF"/>
                <w:sz w:val="19"/>
                <w:szCs w:val="19"/>
              </w:rPr>
              <w:t xml:space="preserve">FY2024</w:t>
            </w:r>
          </w:p>
        </w:tc>
        <w:tc>
          <w:tcPr>
            <w:tcW w:type="dxa" w:w="2340"/>
            <w:shd w:fill="1B2A4A" w:val="clear"/>
            <w:tcMar>
              <w:top w:type="dxa" w:w="60"/>
              <w:left w:type="dxa" w:w="100"/>
              <w:bottom w:type="dxa" w:w="60"/>
              <w:right w:type="dxa" w:w="100"/>
            </w:tcMar>
          </w:tcPr>
          <w:p>
            <w:r>
              <w:rPr>
                <w:b/>
                <w:bCs/>
                <w:color w:val="FFFFFF"/>
                <w:sz w:val="19"/>
                <w:szCs w:val="19"/>
              </w:rPr>
              <w:t xml:space="preserve">FY2025</w:t>
            </w:r>
          </w:p>
        </w:tc>
        <w:tc>
          <w:tcPr>
            <w:tcW w:type="dxa" w:w="2340"/>
            <w:shd w:fill="1B2A4A" w:val="clear"/>
            <w:tcMar>
              <w:top w:type="dxa" w:w="60"/>
              <w:left w:type="dxa" w:w="100"/>
              <w:bottom w:type="dxa" w:w="60"/>
              <w:right w:type="dxa" w:w="100"/>
            </w:tcMar>
          </w:tcPr>
          <w:p>
            <w:r>
              <w:rPr>
                <w:b/>
                <w:bCs/>
                <w:color w:val="FFFFFF"/>
                <w:sz w:val="19"/>
                <w:szCs w:val="19"/>
              </w:rPr>
              <w:t xml:space="preserve">FY2026</w:t>
            </w:r>
          </w:p>
        </w:tc>
      </w:tr>
      <w:tr>
        <w:tc>
          <w:tcPr>
            <w:tcW w:type="dxa" w:w="2340"/>
            <w:shd w:fill="FFFFFF" w:val="clear"/>
            <w:tcMar>
              <w:top w:type="dxa" w:w="60"/>
              <w:left w:type="dxa" w:w="100"/>
              <w:bottom w:type="dxa" w:w="60"/>
              <w:right w:type="dxa" w:w="100"/>
            </w:tcMar>
          </w:tcPr>
          <w:p>
            <w:r>
              <w:rPr>
                <w:b w:val="false"/>
                <w:bCs w:val="false"/>
                <w:sz w:val="19"/>
                <w:szCs w:val="19"/>
              </w:rPr>
              <w:t xml:space="preserve">Revenue from operations (Rs crore)</w:t>
            </w:r>
          </w:p>
        </w:tc>
        <w:tc>
          <w:tcPr>
            <w:tcW w:type="dxa" w:w="2340"/>
            <w:shd w:fill="FFFFFF" w:val="clear"/>
            <w:tcMar>
              <w:top w:type="dxa" w:w="60"/>
              <w:left w:type="dxa" w:w="100"/>
              <w:bottom w:type="dxa" w:w="60"/>
              <w:right w:type="dxa" w:w="100"/>
            </w:tcMar>
          </w:tcPr>
          <w:p>
            <w:r>
              <w:rPr>
                <w:b w:val="false"/>
                <w:bCs w:val="false"/>
                <w:sz w:val="19"/>
                <w:szCs w:val="19"/>
              </w:rPr>
              <w:t xml:space="preserve">25,377.72</w:t>
            </w:r>
          </w:p>
        </w:tc>
        <w:tc>
          <w:tcPr>
            <w:tcW w:type="dxa" w:w="2340"/>
            <w:shd w:fill="FFFFFF" w:val="clear"/>
            <w:tcMar>
              <w:top w:type="dxa" w:w="60"/>
              <w:left w:type="dxa" w:w="100"/>
              <w:bottom w:type="dxa" w:w="60"/>
              <w:right w:type="dxa" w:w="100"/>
            </w:tcMar>
          </w:tcPr>
          <w:p>
            <w:r>
              <w:rPr>
                <w:b w:val="false"/>
                <w:bCs w:val="false"/>
                <w:sz w:val="19"/>
                <w:szCs w:val="19"/>
              </w:rPr>
              <w:t xml:space="preserve">26,123.42</w:t>
            </w:r>
          </w:p>
        </w:tc>
        <w:tc>
          <w:tcPr>
            <w:tcW w:type="dxa" w:w="2340"/>
            <w:shd w:fill="FFFFFF" w:val="clear"/>
            <w:tcMar>
              <w:top w:type="dxa" w:w="60"/>
              <w:left w:type="dxa" w:w="100"/>
              <w:bottom w:type="dxa" w:w="60"/>
              <w:right w:type="dxa" w:w="100"/>
            </w:tcMar>
          </w:tcPr>
          <w:p>
            <w:r>
              <w:rPr>
                <w:b w:val="false"/>
                <w:bCs w:val="false"/>
                <w:sz w:val="19"/>
                <w:szCs w:val="19"/>
              </w:rPr>
              <w:t xml:space="preserve">28,470.60</w:t>
            </w:r>
          </w:p>
        </w:tc>
      </w:tr>
      <w:tr>
        <w:tc>
          <w:tcPr>
            <w:tcW w:type="dxa" w:w="2340"/>
            <w:shd w:fill="F4F6F9" w:val="clear"/>
            <w:tcMar>
              <w:top w:type="dxa" w:w="60"/>
              <w:left w:type="dxa" w:w="100"/>
              <w:bottom w:type="dxa" w:w="60"/>
              <w:right w:type="dxa" w:w="100"/>
            </w:tcMar>
          </w:tcPr>
          <w:p>
            <w:r>
              <w:rPr>
                <w:b w:val="false"/>
                <w:bCs w:val="false"/>
                <w:sz w:val="19"/>
                <w:szCs w:val="19"/>
              </w:rPr>
              <w:t xml:space="preserve">PBDIT (Rs crore)</w:t>
            </w:r>
          </w:p>
        </w:tc>
        <w:tc>
          <w:tcPr>
            <w:tcW w:type="dxa" w:w="2340"/>
            <w:shd w:fill="F4F6F9" w:val="clear"/>
            <w:tcMar>
              <w:top w:type="dxa" w:w="60"/>
              <w:left w:type="dxa" w:w="100"/>
              <w:bottom w:type="dxa" w:w="60"/>
              <w:right w:type="dxa" w:w="100"/>
            </w:tcMar>
          </w:tcPr>
          <w:p>
            <w:r>
              <w:rPr>
                <w:b w:val="false"/>
                <w:bCs w:val="false"/>
                <w:sz w:val="19"/>
                <w:szCs w:val="19"/>
              </w:rPr>
              <w:t xml:space="preserve">4,601.28</w:t>
            </w:r>
          </w:p>
        </w:tc>
        <w:tc>
          <w:tcPr>
            <w:tcW w:type="dxa" w:w="2340"/>
            <w:shd w:fill="F4F6F9" w:val="clear"/>
            <w:tcMar>
              <w:top w:type="dxa" w:w="60"/>
              <w:left w:type="dxa" w:w="100"/>
              <w:bottom w:type="dxa" w:w="60"/>
              <w:right w:type="dxa" w:w="100"/>
            </w:tcMar>
          </w:tcPr>
          <w:p>
            <w:r>
              <w:rPr>
                <w:b w:val="false"/>
                <w:bCs w:val="false"/>
                <w:sz w:val="19"/>
                <w:szCs w:val="19"/>
              </w:rPr>
              <w:t xml:space="preserve">3,660.30</w:t>
            </w:r>
          </w:p>
        </w:tc>
        <w:tc>
          <w:tcPr>
            <w:tcW w:type="dxa" w:w="2340"/>
            <w:shd w:fill="F4F6F9" w:val="clear"/>
            <w:tcMar>
              <w:top w:type="dxa" w:w="60"/>
              <w:left w:type="dxa" w:w="100"/>
              <w:bottom w:type="dxa" w:w="60"/>
              <w:right w:type="dxa" w:w="100"/>
            </w:tcMar>
          </w:tcPr>
          <w:p>
            <w:r>
              <w:rPr>
                <w:b w:val="false"/>
                <w:bCs w:val="false"/>
                <w:sz w:val="19"/>
                <w:szCs w:val="19"/>
              </w:rPr>
              <w:t xml:space="preserve">4,277.23</w:t>
            </w:r>
          </w:p>
        </w:tc>
      </w:tr>
      <w:tr>
        <w:tc>
          <w:tcPr>
            <w:tcW w:type="dxa" w:w="2340"/>
            <w:shd w:fill="FFFFFF" w:val="clear"/>
            <w:tcMar>
              <w:top w:type="dxa" w:w="60"/>
              <w:left w:type="dxa" w:w="100"/>
              <w:bottom w:type="dxa" w:w="60"/>
              <w:right w:type="dxa" w:w="100"/>
            </w:tcMar>
          </w:tcPr>
          <w:p>
            <w:r>
              <w:rPr>
                <w:b w:val="false"/>
                <w:bCs w:val="false"/>
                <w:sz w:val="19"/>
                <w:szCs w:val="19"/>
              </w:rPr>
              <w:t xml:space="preserve">PBDIT/OI (%)</w:t>
            </w:r>
          </w:p>
        </w:tc>
        <w:tc>
          <w:tcPr>
            <w:tcW w:type="dxa" w:w="2340"/>
            <w:shd w:fill="FFFFFF" w:val="clear"/>
            <w:tcMar>
              <w:top w:type="dxa" w:w="60"/>
              <w:left w:type="dxa" w:w="100"/>
              <w:bottom w:type="dxa" w:w="60"/>
              <w:right w:type="dxa" w:w="100"/>
            </w:tcMar>
          </w:tcPr>
          <w:p>
            <w:r>
              <w:rPr>
                <w:b w:val="false"/>
                <w:bCs w:val="false"/>
                <w:sz w:val="19"/>
                <w:szCs w:val="19"/>
              </w:rPr>
              <w:t xml:space="preserve">18.13</w:t>
            </w:r>
          </w:p>
        </w:tc>
        <w:tc>
          <w:tcPr>
            <w:tcW w:type="dxa" w:w="2340"/>
            <w:shd w:fill="FFFFFF" w:val="clear"/>
            <w:tcMar>
              <w:top w:type="dxa" w:w="60"/>
              <w:left w:type="dxa" w:w="100"/>
              <w:bottom w:type="dxa" w:w="60"/>
              <w:right w:type="dxa" w:w="100"/>
            </w:tcMar>
          </w:tcPr>
          <w:p>
            <w:r>
              <w:rPr>
                <w:b w:val="false"/>
                <w:bCs w:val="false"/>
                <w:sz w:val="19"/>
                <w:szCs w:val="19"/>
              </w:rPr>
              <w:t xml:space="preserve">14.01</w:t>
            </w:r>
          </w:p>
        </w:tc>
        <w:tc>
          <w:tcPr>
            <w:tcW w:type="dxa" w:w="2340"/>
            <w:shd w:fill="FFFFFF" w:val="clear"/>
            <w:tcMar>
              <w:top w:type="dxa" w:w="60"/>
              <w:left w:type="dxa" w:w="100"/>
              <w:bottom w:type="dxa" w:w="60"/>
              <w:right w:type="dxa" w:w="100"/>
            </w:tcMar>
          </w:tcPr>
          <w:p>
            <w:r>
              <w:rPr>
                <w:b w:val="false"/>
                <w:bCs w:val="false"/>
                <w:sz w:val="19"/>
                <w:szCs w:val="19"/>
              </w:rPr>
              <w:t xml:space="preserve">15.02</w:t>
            </w:r>
          </w:p>
        </w:tc>
      </w:tr>
      <w:tr>
        <w:tc>
          <w:tcPr>
            <w:tcW w:type="dxa" w:w="2340"/>
            <w:shd w:fill="F4F6F9" w:val="clear"/>
            <w:tcMar>
              <w:top w:type="dxa" w:w="60"/>
              <w:left w:type="dxa" w:w="100"/>
              <w:bottom w:type="dxa" w:w="60"/>
              <w:right w:type="dxa" w:w="100"/>
            </w:tcMar>
          </w:tcPr>
          <w:p>
            <w:r>
              <w:rPr>
                <w:b w:val="false"/>
                <w:bCs w:val="false"/>
                <w:sz w:val="19"/>
                <w:szCs w:val="19"/>
              </w:rPr>
              <w:t xml:space="preserve">PAT (Rs crore)</w:t>
            </w:r>
          </w:p>
        </w:tc>
        <w:tc>
          <w:tcPr>
            <w:tcW w:type="dxa" w:w="2340"/>
            <w:shd w:fill="F4F6F9" w:val="clear"/>
            <w:tcMar>
              <w:top w:type="dxa" w:w="60"/>
              <w:left w:type="dxa" w:w="100"/>
              <w:bottom w:type="dxa" w:w="60"/>
              <w:right w:type="dxa" w:w="100"/>
            </w:tcMar>
          </w:tcPr>
          <w:p>
            <w:r>
              <w:rPr>
                <w:b w:val="false"/>
                <w:bCs w:val="false"/>
                <w:sz w:val="19"/>
                <w:szCs w:val="19"/>
              </w:rPr>
              <w:t xml:space="preserve">1,721.87</w:t>
            </w:r>
          </w:p>
        </w:tc>
        <w:tc>
          <w:tcPr>
            <w:tcW w:type="dxa" w:w="2340"/>
            <w:shd w:fill="F4F6F9" w:val="clear"/>
            <w:tcMar>
              <w:top w:type="dxa" w:w="60"/>
              <w:left w:type="dxa" w:w="100"/>
              <w:bottom w:type="dxa" w:w="60"/>
              <w:right w:type="dxa" w:w="100"/>
            </w:tcMar>
          </w:tcPr>
          <w:p>
            <w:r>
              <w:rPr>
                <w:b w:val="false"/>
                <w:bCs w:val="false"/>
                <w:sz w:val="19"/>
                <w:szCs w:val="19"/>
              </w:rPr>
              <w:t xml:space="preserve">1,121.32</w:t>
            </w:r>
          </w:p>
        </w:tc>
        <w:tc>
          <w:tcPr>
            <w:tcW w:type="dxa" w:w="2340"/>
            <w:shd w:fill="F4F6F9" w:val="clear"/>
            <w:tcMar>
              <w:top w:type="dxa" w:w="60"/>
              <w:left w:type="dxa" w:w="100"/>
              <w:bottom w:type="dxa" w:w="60"/>
              <w:right w:type="dxa" w:w="100"/>
            </w:tcMar>
          </w:tcPr>
          <w:p>
            <w:r>
              <w:rPr>
                <w:b w:val="false"/>
                <w:bCs w:val="false"/>
                <w:sz w:val="19"/>
                <w:szCs w:val="19"/>
              </w:rPr>
              <w:t xml:space="preserve">1,372.42</w:t>
            </w:r>
          </w:p>
        </w:tc>
      </w:tr>
      <w:tr>
        <w:tc>
          <w:tcPr>
            <w:tcW w:type="dxa" w:w="2340"/>
            <w:shd w:fill="FFFFFF" w:val="clear"/>
            <w:tcMar>
              <w:top w:type="dxa" w:w="60"/>
              <w:left w:type="dxa" w:w="100"/>
              <w:bottom w:type="dxa" w:w="60"/>
              <w:right w:type="dxa" w:w="100"/>
            </w:tcMar>
          </w:tcPr>
          <w:p>
            <w:r>
              <w:rPr>
                <w:b w:val="false"/>
                <w:bCs w:val="false"/>
                <w:sz w:val="19"/>
                <w:szCs w:val="19"/>
              </w:rPr>
              <w:t xml:space="preserve">Total debt (Rs crore)</w:t>
            </w:r>
          </w:p>
        </w:tc>
        <w:tc>
          <w:tcPr>
            <w:tcW w:type="dxa" w:w="2340"/>
            <w:shd w:fill="FFFFFF" w:val="clear"/>
            <w:tcMar>
              <w:top w:type="dxa" w:w="60"/>
              <w:left w:type="dxa" w:w="100"/>
              <w:bottom w:type="dxa" w:w="60"/>
              <w:right w:type="dxa" w:w="100"/>
            </w:tcMar>
          </w:tcPr>
          <w:p>
            <w:r>
              <w:rPr>
                <w:b w:val="false"/>
                <w:bCs w:val="false"/>
                <w:sz w:val="19"/>
                <w:szCs w:val="19"/>
              </w:rPr>
              <w:t xml:space="preserve">4,905.10</w:t>
            </w:r>
          </w:p>
        </w:tc>
        <w:tc>
          <w:tcPr>
            <w:tcW w:type="dxa" w:w="2340"/>
            <w:shd w:fill="FFFFFF" w:val="clear"/>
            <w:tcMar>
              <w:top w:type="dxa" w:w="60"/>
              <w:left w:type="dxa" w:w="100"/>
              <w:bottom w:type="dxa" w:w="60"/>
              <w:right w:type="dxa" w:w="100"/>
            </w:tcMar>
          </w:tcPr>
          <w:p>
            <w:r>
              <w:rPr>
                <w:b w:val="false"/>
                <w:bCs w:val="false"/>
                <w:sz w:val="19"/>
                <w:szCs w:val="19"/>
              </w:rPr>
              <w:t xml:space="preserve">4,410.43</w:t>
            </w:r>
          </w:p>
        </w:tc>
        <w:tc>
          <w:tcPr>
            <w:tcW w:type="dxa" w:w="2340"/>
            <w:shd w:fill="FFFFFF" w:val="clear"/>
            <w:tcMar>
              <w:top w:type="dxa" w:w="60"/>
              <w:left w:type="dxa" w:w="100"/>
              <w:bottom w:type="dxa" w:w="60"/>
              <w:right w:type="dxa" w:w="100"/>
            </w:tcMar>
          </w:tcPr>
          <w:p>
            <w:r>
              <w:rPr>
                <w:b w:val="false"/>
                <w:bCs w:val="false"/>
                <w:sz w:val="19"/>
                <w:szCs w:val="19"/>
              </w:rPr>
              <w:t xml:space="preserve">3,675.23</w:t>
            </w:r>
          </w:p>
        </w:tc>
      </w:tr>
      <w:tr>
        <w:tc>
          <w:tcPr>
            <w:tcW w:type="dxa" w:w="2340"/>
            <w:shd w:fill="F4F6F9" w:val="clear"/>
            <w:tcMar>
              <w:top w:type="dxa" w:w="60"/>
              <w:left w:type="dxa" w:w="100"/>
              <w:bottom w:type="dxa" w:w="60"/>
              <w:right w:type="dxa" w:w="100"/>
            </w:tcMar>
          </w:tcPr>
          <w:p>
            <w:r>
              <w:rPr>
                <w:b w:val="false"/>
                <w:bCs w:val="false"/>
                <w:sz w:val="19"/>
                <w:szCs w:val="19"/>
              </w:rPr>
              <w:t xml:space="preserve">Gearing (times)</w:t>
            </w:r>
          </w:p>
        </w:tc>
        <w:tc>
          <w:tcPr>
            <w:tcW w:type="dxa" w:w="2340"/>
            <w:shd w:fill="F4F6F9" w:val="clear"/>
            <w:tcMar>
              <w:top w:type="dxa" w:w="60"/>
              <w:left w:type="dxa" w:w="100"/>
              <w:bottom w:type="dxa" w:w="60"/>
              <w:right w:type="dxa" w:w="100"/>
            </w:tcMar>
          </w:tcPr>
          <w:p>
            <w:r>
              <w:rPr>
                <w:b w:val="false"/>
                <w:bCs w:val="false"/>
                <w:sz w:val="19"/>
                <w:szCs w:val="19"/>
              </w:rPr>
              <w:t xml:space="preserve">0.35</w:t>
            </w:r>
          </w:p>
        </w:tc>
        <w:tc>
          <w:tcPr>
            <w:tcW w:type="dxa" w:w="2340"/>
            <w:shd w:fill="F4F6F9" w:val="clear"/>
            <w:tcMar>
              <w:top w:type="dxa" w:w="60"/>
              <w:left w:type="dxa" w:w="100"/>
              <w:bottom w:type="dxa" w:w="60"/>
              <w:right w:type="dxa" w:w="100"/>
            </w:tcMar>
          </w:tcPr>
          <w:p>
            <w:r>
              <w:rPr>
                <w:b w:val="false"/>
                <w:bCs w:val="false"/>
                <w:sz w:val="19"/>
                <w:szCs w:val="19"/>
              </w:rPr>
              <w:t xml:space="preserve">0.30</w:t>
            </w:r>
          </w:p>
        </w:tc>
        <w:tc>
          <w:tcPr>
            <w:tcW w:type="dxa" w:w="2340"/>
            <w:shd w:fill="F4F6F9" w:val="clear"/>
            <w:tcMar>
              <w:top w:type="dxa" w:w="60"/>
              <w:left w:type="dxa" w:w="100"/>
              <w:bottom w:type="dxa" w:w="60"/>
              <w:right w:type="dxa" w:w="100"/>
            </w:tcMar>
          </w:tcPr>
          <w:p>
            <w:r>
              <w:rPr>
                <w:b w:val="false"/>
                <w:bCs w:val="false"/>
                <w:sz w:val="19"/>
                <w:szCs w:val="19"/>
              </w:rPr>
              <w:t xml:space="preserve">0.22</w:t>
            </w:r>
          </w:p>
        </w:tc>
      </w:tr>
      <w:tr>
        <w:tc>
          <w:tcPr>
            <w:tcW w:type="dxa" w:w="2340"/>
            <w:shd w:fill="FFFFFF" w:val="clear"/>
            <w:tcMar>
              <w:top w:type="dxa" w:w="60"/>
              <w:left w:type="dxa" w:w="100"/>
              <w:bottom w:type="dxa" w:w="60"/>
              <w:right w:type="dxa" w:w="100"/>
            </w:tcMar>
          </w:tcPr>
          <w:p>
            <w:r>
              <w:rPr>
                <w:b w:val="false"/>
                <w:bCs w:val="false"/>
                <w:sz w:val="19"/>
                <w:szCs w:val="19"/>
              </w:rPr>
              <w:t xml:space="preserve">Interest coverage (times)</w:t>
            </w:r>
          </w:p>
        </w:tc>
        <w:tc>
          <w:tcPr>
            <w:tcW w:type="dxa" w:w="2340"/>
            <w:shd w:fill="FFFFFF" w:val="clear"/>
            <w:tcMar>
              <w:top w:type="dxa" w:w="60"/>
              <w:left w:type="dxa" w:w="100"/>
              <w:bottom w:type="dxa" w:w="60"/>
              <w:right w:type="dxa" w:w="100"/>
            </w:tcMar>
          </w:tcPr>
          <w:p>
            <w:r>
              <w:rPr>
                <w:b w:val="false"/>
                <w:bCs w:val="false"/>
                <w:sz w:val="19"/>
                <w:szCs w:val="19"/>
              </w:rPr>
              <w:t xml:space="preserve">9.09</w:t>
            </w:r>
          </w:p>
        </w:tc>
        <w:tc>
          <w:tcPr>
            <w:tcW w:type="dxa" w:w="2340"/>
            <w:shd w:fill="FFFFFF" w:val="clear"/>
            <w:tcMar>
              <w:top w:type="dxa" w:w="60"/>
              <w:left w:type="dxa" w:w="100"/>
              <w:bottom w:type="dxa" w:w="60"/>
              <w:right w:type="dxa" w:w="100"/>
            </w:tcMar>
          </w:tcPr>
          <w:p>
            <w:r>
              <w:rPr>
                <w:b w:val="false"/>
                <w:bCs w:val="false"/>
                <w:sz w:val="19"/>
                <w:szCs w:val="19"/>
              </w:rPr>
              <w:t xml:space="preserve">8.20</w:t>
            </w:r>
          </w:p>
        </w:tc>
        <w:tc>
          <w:tcPr>
            <w:tcW w:type="dxa" w:w="2340"/>
            <w:shd w:fill="FFFFFF" w:val="clear"/>
            <w:tcMar>
              <w:top w:type="dxa" w:w="60"/>
              <w:left w:type="dxa" w:w="100"/>
              <w:bottom w:type="dxa" w:w="60"/>
              <w:right w:type="dxa" w:w="100"/>
            </w:tcMar>
          </w:tcPr>
          <w:p>
            <w:r>
              <w:rPr>
                <w:b w:val="false"/>
                <w:bCs w:val="false"/>
                <w:sz w:val="19"/>
                <w:szCs w:val="19"/>
              </w:rPr>
              <w:t xml:space="preserve">10.93</w:t>
            </w:r>
          </w:p>
        </w:tc>
      </w:tr>
    </w:tbl>
    <w:p>
      <w:pPr>
        <w:spacing w:after="200"/>
      </w:pPr>
    </w:p>
    <w:p>
      <w:pPr>
        <w:spacing w:after="160"/>
      </w:pPr>
      <w:r>
        <w:rPr>
          <w:sz w:val="21"/>
          <w:szCs w:val="21"/>
        </w:rPr>
        <w:t xml:space="preserve">Source: Company, computed per CRISIL's stated ratio definitions (</w:t>
      </w:r>
      <w:r>
        <w:rPr>
          <w:rFonts w:ascii="Consolas" w:cs="Consolas" w:eastAsia="Consolas" w:hAnsi="Consolas"/>
          <w:sz w:val="21"/>
          <w:szCs w:val="21"/>
        </w:rPr>
        <w:t xml:space="preserve">compute_ratios.py</w:t>
      </w:r>
      <w:r>
        <w:rPr>
          <w:sz w:val="21"/>
          <w:szCs w:val="21"/>
        </w:rPr>
        <w:t xml:space="preserve">, </w:t>
      </w:r>
      <w:r>
        <w:rPr>
          <w:rFonts w:ascii="Consolas" w:cs="Consolas" w:eastAsia="Consolas" w:hAnsi="Consolas"/>
          <w:sz w:val="21"/>
          <w:szCs w:val="21"/>
        </w:rPr>
        <w:t xml:space="preserve">Apollo_Tyres_Ratio_Workpaper_30Aug2026.md</w:t>
      </w:r>
      <w:r>
        <w:rPr>
          <w:sz w:val="21"/>
          <w:szCs w:val="21"/>
        </w:rPr>
        <w:t xml:space="preserve">); amounts converted from the AR's own Rs million disclosure to Rs crore. PBDIT includes recurring non-operating income per CRISIL convention and excludes the fiscal 2026 exceptional item (Rs 1,033.51 crore, consolidated — dominated by the Rs 1,000.12 crore Apollo Tyres (NL) B.V. impairment; see workpaper §3 for the full normalisation reasoning).</w:t>
      </w:r>
    </w:p>
    <w:p>
      <w:pPr>
        <w:pStyle w:val="Heading2"/>
        <w:spacing w:after="120" w:before="260"/>
      </w:pPr>
      <w:r>
        <w:rPr>
          <w:b/>
          <w:bCs/>
          <w:color w:val="1B2A4A"/>
          <w:sz w:val="24"/>
          <w:szCs w:val="24"/>
        </w:rPr>
        <w:t xml:space="preserve">Status of non-cooperation with previous CRA: Not applicable — this is a new rating engagement.</w:t>
      </w:r>
    </w:p>
    <w:p>
      <w:pPr>
        <w:pStyle w:val="Heading2"/>
        <w:spacing w:after="120" w:before="260"/>
      </w:pPr>
      <w:r>
        <w:rPr>
          <w:b/>
          <w:bCs/>
          <w:color w:val="1B2A4A"/>
          <w:sz w:val="24"/>
          <w:szCs w:val="24"/>
        </w:rPr>
        <w:t xml:space="preserve">Any other information: See Key Rating Drivers — Weaknesses for contingent liabilities and the Enschede restructuring. Thirty-three subsidiaries are named in Annexure II per Form AOC-1, all 100%-owned; none is described as immaterial without being named.</w:t>
      </w:r>
    </w:p>
    <w:p>
      <w:pPr>
        <w:pStyle w:val="Heading2"/>
        <w:spacing w:after="120" w:before="260"/>
      </w:pPr>
      <w:r>
        <w:rPr>
          <w:b/>
          <w:bCs/>
          <w:color w:val="1B2A4A"/>
          <w:sz w:val="24"/>
          <w:szCs w:val="24"/>
        </w:rPr>
        <w:t xml:space="preserve">Rating history for past three years</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1872"/>
        <w:gridCol w:w="1872"/>
        <w:gridCol w:w="1872"/>
        <w:gridCol w:w="1872"/>
        <w:gridCol w:w="1872"/>
      </w:tblGrid>
      <w:tr>
        <w:trPr>
          <w:tblHeader/>
        </w:trPr>
        <w:tc>
          <w:tcPr>
            <w:tcW w:type="dxa" w:w="1872"/>
            <w:shd w:fill="1B2A4A" w:val="clear"/>
            <w:tcMar>
              <w:top w:type="dxa" w:w="60"/>
              <w:left w:type="dxa" w:w="100"/>
              <w:bottom w:type="dxa" w:w="60"/>
              <w:right w:type="dxa" w:w="100"/>
            </w:tcMar>
          </w:tcPr>
          <w:p>
            <w:r>
              <w:rPr>
                <w:b/>
                <w:bCs/>
                <w:color w:val="FFFFFF"/>
                <w:sz w:val="19"/>
                <w:szCs w:val="19"/>
              </w:rPr>
              <w:t xml:space="preserve">Instrument</w:t>
            </w:r>
          </w:p>
        </w:tc>
        <w:tc>
          <w:tcPr>
            <w:tcW w:type="dxa" w:w="1872"/>
            <w:shd w:fill="1B2A4A" w:val="clear"/>
            <w:tcMar>
              <w:top w:type="dxa" w:w="60"/>
              <w:left w:type="dxa" w:w="100"/>
              <w:bottom w:type="dxa" w:w="60"/>
              <w:right w:type="dxa" w:w="100"/>
            </w:tcMar>
          </w:tcPr>
          <w:p>
            <w:r>
              <w:rPr>
                <w:b/>
                <w:bCs/>
                <w:color w:val="FFFFFF"/>
                <w:sz w:val="19"/>
                <w:szCs w:val="19"/>
              </w:rPr>
              <w:t xml:space="preserve">Type</w:t>
            </w:r>
          </w:p>
        </w:tc>
        <w:tc>
          <w:tcPr>
            <w:tcW w:type="dxa" w:w="1872"/>
            <w:shd w:fill="1B2A4A" w:val="clear"/>
            <w:tcMar>
              <w:top w:type="dxa" w:w="60"/>
              <w:left w:type="dxa" w:w="100"/>
              <w:bottom w:type="dxa" w:w="60"/>
              <w:right w:type="dxa" w:w="100"/>
            </w:tcMar>
          </w:tcPr>
          <w:p>
            <w:r>
              <w:rPr>
                <w:b/>
                <w:bCs/>
                <w:color w:val="FFFFFF"/>
                <w:sz w:val="19"/>
                <w:szCs w:val="19"/>
              </w:rPr>
              <w:t xml:space="preserve">Amount rated (Rs. crore)</w:t>
            </w:r>
          </w:p>
        </w:tc>
        <w:tc>
          <w:tcPr>
            <w:tcW w:type="dxa" w:w="1872"/>
            <w:shd w:fill="1B2A4A" w:val="clear"/>
            <w:tcMar>
              <w:top w:type="dxa" w:w="60"/>
              <w:left w:type="dxa" w:w="100"/>
              <w:bottom w:type="dxa" w:w="60"/>
              <w:right w:type="dxa" w:w="100"/>
            </w:tcMar>
          </w:tcPr>
          <w:p>
            <w:r>
              <w:rPr>
                <w:b/>
                <w:bCs/>
                <w:color w:val="FFFFFF"/>
                <w:sz w:val="19"/>
                <w:szCs w:val="19"/>
              </w:rPr>
              <w:t xml:space="preserve">Current rating (Aug 2026)</w:t>
            </w:r>
          </w:p>
        </w:tc>
        <w:tc>
          <w:tcPr>
            <w:tcW w:type="dxa" w:w="1872"/>
            <w:shd w:fill="1B2A4A" w:val="clear"/>
            <w:tcMar>
              <w:top w:type="dxa" w:w="60"/>
              <w:left w:type="dxa" w:w="100"/>
              <w:bottom w:type="dxa" w:w="60"/>
              <w:right w:type="dxa" w:w="100"/>
            </w:tcMar>
          </w:tcPr>
          <w:p>
            <w:r>
              <w:rPr>
                <w:b/>
                <w:bCs/>
                <w:color w:val="FFFFFF"/>
                <w:sz w:val="19"/>
                <w:szCs w:val="19"/>
              </w:rPr>
              <w:t xml:space="preserve">Prior action</w:t>
            </w:r>
          </w:p>
        </w:tc>
      </w:tr>
      <w:tr>
        <w:tc>
          <w:tcPr>
            <w:tcW w:type="dxa" w:w="1872"/>
            <w:shd w:fill="FFFFFF" w:val="clear"/>
            <w:tcMar>
              <w:top w:type="dxa" w:w="60"/>
              <w:left w:type="dxa" w:w="100"/>
              <w:bottom w:type="dxa" w:w="60"/>
              <w:right w:type="dxa" w:w="100"/>
            </w:tcMar>
          </w:tcPr>
          <w:p>
            <w:r>
              <w:rPr>
                <w:b w:val="false"/>
                <w:bCs w:val="false"/>
                <w:sz w:val="19"/>
                <w:szCs w:val="19"/>
              </w:rPr>
              <w:t xml:space="preserve">Long-term facilities</w:t>
            </w:r>
          </w:p>
        </w:tc>
        <w:tc>
          <w:tcPr>
            <w:tcW w:type="dxa" w:w="1872"/>
            <w:shd w:fill="FFFFFF" w:val="clear"/>
            <w:tcMar>
              <w:top w:type="dxa" w:w="60"/>
              <w:left w:type="dxa" w:w="100"/>
              <w:bottom w:type="dxa" w:w="60"/>
              <w:right w:type="dxa" w:w="100"/>
            </w:tcMar>
          </w:tcPr>
          <w:p>
            <w:r>
              <w:rPr>
                <w:b w:val="false"/>
                <w:bCs w:val="false"/>
                <w:sz w:val="19"/>
                <w:szCs w:val="19"/>
              </w:rPr>
              <w:t xml:space="preserve">Long Term</w:t>
            </w:r>
          </w:p>
        </w:tc>
        <w:tc>
          <w:tcPr>
            <w:tcW w:type="dxa" w:w="1872"/>
            <w:shd w:fill="FFFFFF" w:val="clear"/>
            <w:tcMar>
              <w:top w:type="dxa" w:w="60"/>
              <w:left w:type="dxa" w:w="100"/>
              <w:bottom w:type="dxa" w:w="60"/>
              <w:right w:type="dxa" w:w="100"/>
            </w:tcMar>
          </w:tcPr>
          <w:p>
            <w:r>
              <w:rPr>
                <w:b w:val="false"/>
                <w:bCs w:val="false"/>
                <w:sz w:val="19"/>
                <w:szCs w:val="19"/>
              </w:rPr>
              <w:t xml:space="preserve">To be confirmed by issuer</w:t>
            </w:r>
          </w:p>
        </w:tc>
        <w:tc>
          <w:tcPr>
            <w:tcW w:type="dxa" w:w="1872"/>
            <w:shd w:fill="FFFFFF" w:val="clear"/>
            <w:tcMar>
              <w:top w:type="dxa" w:w="60"/>
              <w:left w:type="dxa" w:w="100"/>
              <w:bottom w:type="dxa" w:w="60"/>
              <w:right w:type="dxa" w:w="100"/>
            </w:tcMar>
          </w:tcPr>
          <w:p>
            <w:r>
              <w:rPr>
                <w:b w:val="false"/>
                <w:bCs w:val="false"/>
                <w:sz w:val="19"/>
                <w:szCs w:val="19"/>
              </w:rPr>
              <w:t xml:space="preserve">Crisil AA+/Stable</w:t>
            </w:r>
          </w:p>
        </w:tc>
        <w:tc>
          <w:tcPr>
            <w:tcW w:type="dxa" w:w="1872"/>
            <w:shd w:fill="FFFFFF" w:val="clear"/>
            <w:tcMar>
              <w:top w:type="dxa" w:w="60"/>
              <w:left w:type="dxa" w:w="100"/>
              <w:bottom w:type="dxa" w:w="60"/>
              <w:right w:type="dxa" w:w="100"/>
            </w:tcMar>
          </w:tcPr>
          <w:p>
            <w:r>
              <w:rPr>
                <w:b w:val="false"/>
                <w:bCs w:val="false"/>
                <w:sz w:val="19"/>
                <w:szCs w:val="19"/>
              </w:rPr>
              <w:t xml:space="preserve">New rating — no prior action under this engagement. The company's own annual report and the reference library both show an existing outstanding Crisil AA+/Stable rating (reaffirmed 24-Dec-2025); see the divergence discussion in the workpaper (§9).</w:t>
            </w:r>
          </w:p>
        </w:tc>
      </w:tr>
      <w:tr>
        <w:tc>
          <w:tcPr>
            <w:tcW w:type="dxa" w:w="1872"/>
            <w:shd w:fill="F4F6F9" w:val="clear"/>
            <w:tcMar>
              <w:top w:type="dxa" w:w="60"/>
              <w:left w:type="dxa" w:w="100"/>
              <w:bottom w:type="dxa" w:w="60"/>
              <w:right w:type="dxa" w:w="100"/>
            </w:tcMar>
          </w:tcPr>
          <w:p>
            <w:r>
              <w:rPr>
                <w:b w:val="false"/>
                <w:bCs w:val="false"/>
                <w:sz w:val="19"/>
                <w:szCs w:val="19"/>
              </w:rPr>
              <w:t xml:space="preserve">Short-term facilities (commercial paper)</w:t>
            </w:r>
          </w:p>
        </w:tc>
        <w:tc>
          <w:tcPr>
            <w:tcW w:type="dxa" w:w="1872"/>
            <w:shd w:fill="F4F6F9" w:val="clear"/>
            <w:tcMar>
              <w:top w:type="dxa" w:w="60"/>
              <w:left w:type="dxa" w:w="100"/>
              <w:bottom w:type="dxa" w:w="60"/>
              <w:right w:type="dxa" w:w="100"/>
            </w:tcMar>
          </w:tcPr>
          <w:p>
            <w:r>
              <w:rPr>
                <w:b w:val="false"/>
                <w:bCs w:val="false"/>
                <w:sz w:val="19"/>
                <w:szCs w:val="19"/>
              </w:rPr>
              <w:t xml:space="preserve">Short Term</w:t>
            </w:r>
          </w:p>
        </w:tc>
        <w:tc>
          <w:tcPr>
            <w:tcW w:type="dxa" w:w="1872"/>
            <w:shd w:fill="F4F6F9" w:val="clear"/>
            <w:tcMar>
              <w:top w:type="dxa" w:w="60"/>
              <w:left w:type="dxa" w:w="100"/>
              <w:bottom w:type="dxa" w:w="60"/>
              <w:right w:type="dxa" w:w="100"/>
            </w:tcMar>
          </w:tcPr>
          <w:p>
            <w:r>
              <w:rPr>
                <w:b w:val="false"/>
                <w:bCs w:val="false"/>
                <w:sz w:val="19"/>
                <w:szCs w:val="19"/>
              </w:rPr>
              <w:t xml:space="preserve">To be confirmed by issuer</w:t>
            </w:r>
          </w:p>
        </w:tc>
        <w:tc>
          <w:tcPr>
            <w:tcW w:type="dxa" w:w="1872"/>
            <w:shd w:fill="F4F6F9" w:val="clear"/>
            <w:tcMar>
              <w:top w:type="dxa" w:w="60"/>
              <w:left w:type="dxa" w:w="100"/>
              <w:bottom w:type="dxa" w:w="60"/>
              <w:right w:type="dxa" w:w="100"/>
            </w:tcMar>
          </w:tcPr>
          <w:p>
            <w:r>
              <w:rPr>
                <w:b w:val="false"/>
                <w:bCs w:val="false"/>
                <w:sz w:val="19"/>
                <w:szCs w:val="19"/>
              </w:rPr>
              <w:t xml:space="preserve">Crisil A1+</w:t>
            </w:r>
          </w:p>
        </w:tc>
        <w:tc>
          <w:tcPr>
            <w:tcW w:type="dxa" w:w="1872"/>
            <w:shd w:fill="F4F6F9" w:val="clear"/>
            <w:tcMar>
              <w:top w:type="dxa" w:w="60"/>
              <w:left w:type="dxa" w:w="100"/>
              <w:bottom w:type="dxa" w:w="60"/>
              <w:right w:type="dxa" w:w="100"/>
            </w:tcMar>
          </w:tcPr>
          <w:p>
            <w:r>
              <w:rPr>
                <w:b w:val="false"/>
                <w:bCs w:val="false"/>
                <w:sz w:val="19"/>
                <w:szCs w:val="19"/>
              </w:rPr>
              <w:t xml:space="preserve">As above</w:t>
            </w:r>
          </w:p>
        </w:tc>
      </w:tr>
    </w:tbl>
    <w:p>
      <w:pPr>
        <w:spacing w:after="200"/>
      </w:pPr>
    </w:p>
    <w:p>
      <w:pPr>
        <w:pStyle w:val="Heading1"/>
        <w:pBdr>
          <w:bottom w:val="single" w:color="0E7C86" w:sz="8" w:space="4"/>
        </w:pBdr>
        <w:spacing w:after="160" w:before="320"/>
      </w:pPr>
      <w:r>
        <w:rPr>
          <w:b/>
          <w:bCs/>
          <w:color w:val="1B2A4A"/>
          <w:sz w:val="30"/>
          <w:szCs w:val="30"/>
        </w:rPr>
        <w:t xml:space="preserve">Complexity level of the rated instruments</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4680"/>
        <w:gridCol w:w="4680"/>
      </w:tblGrid>
      <w:tr>
        <w:trPr>
          <w:tblHeader/>
        </w:trPr>
        <w:tc>
          <w:tcPr>
            <w:tcW w:type="dxa" w:w="4680"/>
            <w:shd w:fill="1B2A4A" w:val="clear"/>
            <w:tcMar>
              <w:top w:type="dxa" w:w="60"/>
              <w:left w:type="dxa" w:w="100"/>
              <w:bottom w:type="dxa" w:w="60"/>
              <w:right w:type="dxa" w:w="100"/>
            </w:tcMar>
          </w:tcPr>
          <w:p>
            <w:r>
              <w:rPr>
                <w:b/>
                <w:bCs/>
                <w:color w:val="FFFFFF"/>
                <w:sz w:val="19"/>
                <w:szCs w:val="19"/>
              </w:rPr>
              <w:t xml:space="preserve">Instrument</w:t>
            </w:r>
          </w:p>
        </w:tc>
        <w:tc>
          <w:tcPr>
            <w:tcW w:type="dxa" w:w="4680"/>
            <w:shd w:fill="1B2A4A" w:val="clear"/>
            <w:tcMar>
              <w:top w:type="dxa" w:w="60"/>
              <w:left w:type="dxa" w:w="100"/>
              <w:bottom w:type="dxa" w:w="60"/>
              <w:right w:type="dxa" w:w="100"/>
            </w:tcMar>
          </w:tcPr>
          <w:p>
            <w:r>
              <w:rPr>
                <w:b/>
                <w:bCs/>
                <w:color w:val="FFFFFF"/>
                <w:sz w:val="19"/>
                <w:szCs w:val="19"/>
              </w:rPr>
              <w:t xml:space="preserve">Complexity indicator</w:t>
            </w:r>
          </w:p>
        </w:tc>
      </w:tr>
      <w:tr>
        <w:tc>
          <w:tcPr>
            <w:tcW w:type="dxa" w:w="4680"/>
            <w:shd w:fill="FFFFFF" w:val="clear"/>
            <w:tcMar>
              <w:top w:type="dxa" w:w="60"/>
              <w:left w:type="dxa" w:w="100"/>
              <w:bottom w:type="dxa" w:w="60"/>
              <w:right w:type="dxa" w:w="100"/>
            </w:tcMar>
          </w:tcPr>
          <w:p>
            <w:r>
              <w:rPr>
                <w:b w:val="false"/>
                <w:bCs w:val="false"/>
                <w:sz w:val="19"/>
                <w:szCs w:val="19"/>
              </w:rPr>
              <w:t xml:space="preserve">Non-convertible debentures</w:t>
            </w:r>
          </w:p>
        </w:tc>
        <w:tc>
          <w:tcPr>
            <w:tcW w:type="dxa" w:w="4680"/>
            <w:shd w:fill="FFFFFF" w:val="clear"/>
            <w:tcMar>
              <w:top w:type="dxa" w:w="60"/>
              <w:left w:type="dxa" w:w="100"/>
              <w:bottom w:type="dxa" w:w="60"/>
              <w:right w:type="dxa" w:w="100"/>
            </w:tcMar>
          </w:tcPr>
          <w:p>
            <w:r>
              <w:rPr>
                <w:b w:val="false"/>
                <w:bCs w:val="false"/>
                <w:sz w:val="19"/>
                <w:szCs w:val="19"/>
              </w:rPr>
              <w:t xml:space="preserve">Simple</w:t>
            </w:r>
          </w:p>
        </w:tc>
      </w:tr>
      <w:tr>
        <w:tc>
          <w:tcPr>
            <w:tcW w:type="dxa" w:w="4680"/>
            <w:shd w:fill="F4F6F9" w:val="clear"/>
            <w:tcMar>
              <w:top w:type="dxa" w:w="60"/>
              <w:left w:type="dxa" w:w="100"/>
              <w:bottom w:type="dxa" w:w="60"/>
              <w:right w:type="dxa" w:w="100"/>
            </w:tcMar>
          </w:tcPr>
          <w:p>
            <w:r>
              <w:rPr>
                <w:b w:val="false"/>
                <w:bCs w:val="false"/>
                <w:sz w:val="19"/>
                <w:szCs w:val="19"/>
              </w:rPr>
              <w:t xml:space="preserve">Rupee term loans</w:t>
            </w:r>
          </w:p>
        </w:tc>
        <w:tc>
          <w:tcPr>
            <w:tcW w:type="dxa" w:w="4680"/>
            <w:shd w:fill="F4F6F9" w:val="clear"/>
            <w:tcMar>
              <w:top w:type="dxa" w:w="60"/>
              <w:left w:type="dxa" w:w="100"/>
              <w:bottom w:type="dxa" w:w="60"/>
              <w:right w:type="dxa" w:w="100"/>
            </w:tcMar>
          </w:tcPr>
          <w:p>
            <w:r>
              <w:rPr>
                <w:b w:val="false"/>
                <w:bCs w:val="false"/>
                <w:sz w:val="19"/>
                <w:szCs w:val="19"/>
              </w:rPr>
              <w:t xml:space="preserve">Very Simple</w:t>
            </w:r>
          </w:p>
        </w:tc>
      </w:tr>
      <w:tr>
        <w:tc>
          <w:tcPr>
            <w:tcW w:type="dxa" w:w="4680"/>
            <w:shd w:fill="FFFFFF" w:val="clear"/>
            <w:tcMar>
              <w:top w:type="dxa" w:w="60"/>
              <w:left w:type="dxa" w:w="100"/>
              <w:bottom w:type="dxa" w:w="60"/>
              <w:right w:type="dxa" w:w="100"/>
            </w:tcMar>
          </w:tcPr>
          <w:p>
            <w:r>
              <w:rPr>
                <w:b w:val="false"/>
                <w:bCs w:val="false"/>
                <w:sz w:val="19"/>
                <w:szCs w:val="19"/>
              </w:rPr>
              <w:t xml:space="preserve">Commercial paper</w:t>
            </w:r>
          </w:p>
        </w:tc>
        <w:tc>
          <w:tcPr>
            <w:tcW w:type="dxa" w:w="4680"/>
            <w:shd w:fill="FFFFFF" w:val="clear"/>
            <w:tcMar>
              <w:top w:type="dxa" w:w="60"/>
              <w:left w:type="dxa" w:w="100"/>
              <w:bottom w:type="dxa" w:w="60"/>
              <w:right w:type="dxa" w:w="100"/>
            </w:tcMar>
          </w:tcPr>
          <w:p>
            <w:r>
              <w:rPr>
                <w:b w:val="false"/>
                <w:bCs w:val="false"/>
                <w:sz w:val="19"/>
                <w:szCs w:val="19"/>
              </w:rPr>
              <w:t xml:space="preserve">Very Simple</w:t>
            </w:r>
          </w:p>
        </w:tc>
      </w:tr>
    </w:tbl>
    <w:p>
      <w:pPr>
        <w:spacing w:after="200"/>
      </w:pPr>
    </w:p>
    <w:p>
      <w:pPr>
        <w:spacing w:after="160"/>
      </w:pPr>
      <w:r>
        <w:rPr>
          <w:sz w:val="21"/>
          <w:szCs w:val="21"/>
        </w:rPr>
        <w:t xml:space="preserve">CRISIL Ratings has classified various instruments based on their complexity as "Simple", "Complex" and "Highly Complex". The classification is available on CRISIL Ratings' website.</w:t>
      </w:r>
    </w:p>
    <w:p>
      <w:pPr>
        <w:pStyle w:val="Heading1"/>
        <w:pBdr>
          <w:bottom w:val="single" w:color="0E7C86" w:sz="8" w:space="4"/>
        </w:pBdr>
        <w:spacing w:after="160" w:before="320"/>
      </w:pPr>
      <w:r>
        <w:rPr>
          <w:b/>
          <w:bCs/>
          <w:color w:val="1B2A4A"/>
          <w:sz w:val="30"/>
          <w:szCs w:val="30"/>
        </w:rPr>
        <w:t xml:space="preserve">Annexure I — Instrument details</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1337"/>
        <w:gridCol w:w="1337"/>
        <w:gridCol w:w="1337"/>
        <w:gridCol w:w="1337"/>
        <w:gridCol w:w="1337"/>
        <w:gridCol w:w="1337"/>
        <w:gridCol w:w="1337"/>
      </w:tblGrid>
      <w:tr>
        <w:trPr>
          <w:tblHeader/>
        </w:trPr>
        <w:tc>
          <w:tcPr>
            <w:tcW w:type="dxa" w:w="1337"/>
            <w:shd w:fill="1B2A4A" w:val="clear"/>
            <w:tcMar>
              <w:top w:type="dxa" w:w="60"/>
              <w:left w:type="dxa" w:w="100"/>
              <w:bottom w:type="dxa" w:w="60"/>
              <w:right w:type="dxa" w:w="100"/>
            </w:tcMar>
          </w:tcPr>
          <w:p>
            <w:r>
              <w:rPr>
                <w:b/>
                <w:bCs/>
                <w:color w:val="FFFFFF"/>
                <w:sz w:val="19"/>
                <w:szCs w:val="19"/>
              </w:rPr>
              <w:t xml:space="preserve">ISIN</w:t>
            </w:r>
          </w:p>
        </w:tc>
        <w:tc>
          <w:tcPr>
            <w:tcW w:type="dxa" w:w="1337"/>
            <w:shd w:fill="1B2A4A" w:val="clear"/>
            <w:tcMar>
              <w:top w:type="dxa" w:w="60"/>
              <w:left w:type="dxa" w:w="100"/>
              <w:bottom w:type="dxa" w:w="60"/>
              <w:right w:type="dxa" w:w="100"/>
            </w:tcMar>
          </w:tcPr>
          <w:p>
            <w:r>
              <w:rPr>
                <w:b/>
                <w:bCs/>
                <w:color w:val="FFFFFF"/>
                <w:sz w:val="19"/>
                <w:szCs w:val="19"/>
              </w:rPr>
              <w:t xml:space="preserve">Instrument name</w:t>
            </w:r>
          </w:p>
        </w:tc>
        <w:tc>
          <w:tcPr>
            <w:tcW w:type="dxa" w:w="1337"/>
            <w:shd w:fill="1B2A4A" w:val="clear"/>
            <w:tcMar>
              <w:top w:type="dxa" w:w="60"/>
              <w:left w:type="dxa" w:w="100"/>
              <w:bottom w:type="dxa" w:w="60"/>
              <w:right w:type="dxa" w:w="100"/>
            </w:tcMar>
          </w:tcPr>
          <w:p>
            <w:r>
              <w:rPr>
                <w:b/>
                <w:bCs/>
                <w:color w:val="FFFFFF"/>
                <w:sz w:val="19"/>
                <w:szCs w:val="19"/>
              </w:rPr>
              <w:t xml:space="preserve">Date of issuance</w:t>
            </w:r>
          </w:p>
        </w:tc>
        <w:tc>
          <w:tcPr>
            <w:tcW w:type="dxa" w:w="1337"/>
            <w:shd w:fill="1B2A4A" w:val="clear"/>
            <w:tcMar>
              <w:top w:type="dxa" w:w="60"/>
              <w:left w:type="dxa" w:w="100"/>
              <w:bottom w:type="dxa" w:w="60"/>
              <w:right w:type="dxa" w:w="100"/>
            </w:tcMar>
          </w:tcPr>
          <w:p>
            <w:r>
              <w:rPr>
                <w:b/>
                <w:bCs/>
                <w:color w:val="FFFFFF"/>
                <w:sz w:val="19"/>
                <w:szCs w:val="19"/>
              </w:rPr>
              <w:t xml:space="preserve">Coupon rate</w:t>
            </w:r>
          </w:p>
        </w:tc>
        <w:tc>
          <w:tcPr>
            <w:tcW w:type="dxa" w:w="1337"/>
            <w:shd w:fill="1B2A4A" w:val="clear"/>
            <w:tcMar>
              <w:top w:type="dxa" w:w="60"/>
              <w:left w:type="dxa" w:w="100"/>
              <w:bottom w:type="dxa" w:w="60"/>
              <w:right w:type="dxa" w:w="100"/>
            </w:tcMar>
          </w:tcPr>
          <w:p>
            <w:r>
              <w:rPr>
                <w:b/>
                <w:bCs/>
                <w:color w:val="FFFFFF"/>
                <w:sz w:val="19"/>
                <w:szCs w:val="19"/>
              </w:rPr>
              <w:t xml:space="preserve">Maturity</w:t>
            </w:r>
          </w:p>
        </w:tc>
        <w:tc>
          <w:tcPr>
            <w:tcW w:type="dxa" w:w="1337"/>
            <w:shd w:fill="1B2A4A" w:val="clear"/>
            <w:tcMar>
              <w:top w:type="dxa" w:w="60"/>
              <w:left w:type="dxa" w:w="100"/>
              <w:bottom w:type="dxa" w:w="60"/>
              <w:right w:type="dxa" w:w="100"/>
            </w:tcMar>
          </w:tcPr>
          <w:p>
            <w:r>
              <w:rPr>
                <w:b/>
                <w:bCs/>
                <w:color w:val="FFFFFF"/>
                <w:sz w:val="19"/>
                <w:szCs w:val="19"/>
              </w:rPr>
              <w:t xml:space="preserve">Amount (Rs. crore)</w:t>
            </w:r>
          </w:p>
        </w:tc>
        <w:tc>
          <w:tcPr>
            <w:tcW w:type="dxa" w:w="1337"/>
            <w:shd w:fill="1B2A4A" w:val="clear"/>
            <w:tcMar>
              <w:top w:type="dxa" w:w="60"/>
              <w:left w:type="dxa" w:w="100"/>
              <w:bottom w:type="dxa" w:w="60"/>
              <w:right w:type="dxa" w:w="100"/>
            </w:tcMar>
          </w:tcPr>
          <w:p>
            <w:r>
              <w:rPr>
                <w:b/>
                <w:bCs/>
                <w:color w:val="FFFFFF"/>
                <w:sz w:val="19"/>
                <w:szCs w:val="19"/>
              </w:rPr>
              <w:t xml:space="preserve">Current rating</w:t>
            </w:r>
          </w:p>
        </w:tc>
      </w:tr>
      <w:tr>
        <w:tc>
          <w:tcPr>
            <w:tcW w:type="dxa" w:w="1337"/>
            <w:shd w:fill="FFFFFF" w:val="clear"/>
            <w:tcMar>
              <w:top w:type="dxa" w:w="60"/>
              <w:left w:type="dxa" w:w="100"/>
              <w:bottom w:type="dxa" w:w="60"/>
              <w:right w:type="dxa" w:w="100"/>
            </w:tcMar>
          </w:tcPr>
          <w:p>
            <w:r>
              <w:rPr>
                <w:b w:val="false"/>
                <w:bCs w:val="false"/>
                <w:sz w:val="19"/>
                <w:szCs w:val="19"/>
              </w:rPr>
              <w:t xml:space="preserve">To be confirmed</w:t>
            </w:r>
          </w:p>
        </w:tc>
        <w:tc>
          <w:tcPr>
            <w:tcW w:type="dxa" w:w="1337"/>
            <w:shd w:fill="FFFFFF" w:val="clear"/>
            <w:tcMar>
              <w:top w:type="dxa" w:w="60"/>
              <w:left w:type="dxa" w:w="100"/>
              <w:bottom w:type="dxa" w:w="60"/>
              <w:right w:type="dxa" w:w="100"/>
            </w:tcMar>
          </w:tcPr>
          <w:p>
            <w:r>
              <w:rPr>
                <w:b w:val="false"/>
                <w:bCs w:val="false"/>
                <w:sz w:val="19"/>
                <w:szCs w:val="19"/>
              </w:rPr>
              <w:t xml:space="preserve">8.75% Non-Convertible Debentures</w:t>
            </w:r>
          </w:p>
        </w:tc>
        <w:tc>
          <w:tcPr>
            <w:tcW w:type="dxa" w:w="1337"/>
            <w:shd w:fill="FFFFFF" w:val="clear"/>
            <w:tcMar>
              <w:top w:type="dxa" w:w="60"/>
              <w:left w:type="dxa" w:w="100"/>
              <w:bottom w:type="dxa" w:w="60"/>
              <w:right w:type="dxa" w:w="100"/>
            </w:tcMar>
          </w:tcPr>
          <w:p>
            <w:r>
              <w:rPr>
                <w:b w:val="false"/>
                <w:bCs w:val="false"/>
                <w:sz w:val="19"/>
                <w:szCs w:val="19"/>
              </w:rPr>
              <w:t xml:space="preserve">See source note</w:t>
            </w:r>
          </w:p>
        </w:tc>
        <w:tc>
          <w:tcPr>
            <w:tcW w:type="dxa" w:w="1337"/>
            <w:shd w:fill="FFFFFF" w:val="clear"/>
            <w:tcMar>
              <w:top w:type="dxa" w:w="60"/>
              <w:left w:type="dxa" w:w="100"/>
              <w:bottom w:type="dxa" w:w="60"/>
              <w:right w:type="dxa" w:w="100"/>
            </w:tcMar>
          </w:tcPr>
          <w:p>
            <w:r>
              <w:rPr>
                <w:b w:val="false"/>
                <w:bCs w:val="false"/>
                <w:sz w:val="19"/>
                <w:szCs w:val="19"/>
              </w:rPr>
              <w:t xml:space="preserve">8.75%</w:t>
            </w:r>
          </w:p>
        </w:tc>
        <w:tc>
          <w:tcPr>
            <w:tcW w:type="dxa" w:w="1337"/>
            <w:shd w:fill="FFFFFF" w:val="clear"/>
            <w:tcMar>
              <w:top w:type="dxa" w:w="60"/>
              <w:left w:type="dxa" w:w="100"/>
              <w:bottom w:type="dxa" w:w="60"/>
              <w:right w:type="dxa" w:w="100"/>
            </w:tcMar>
          </w:tcPr>
          <w:p>
            <w:r>
              <w:rPr>
                <w:b w:val="false"/>
                <w:bCs w:val="false"/>
                <w:sz w:val="19"/>
                <w:szCs w:val="19"/>
              </w:rPr>
              <w:t xml:space="preserve">09-Apr-2030 (bullet)</w:t>
            </w:r>
          </w:p>
        </w:tc>
        <w:tc>
          <w:tcPr>
            <w:tcW w:type="dxa" w:w="1337"/>
            <w:shd w:fill="FFFFFF" w:val="clear"/>
            <w:tcMar>
              <w:top w:type="dxa" w:w="60"/>
              <w:left w:type="dxa" w:w="100"/>
              <w:bottom w:type="dxa" w:w="60"/>
              <w:right w:type="dxa" w:w="100"/>
            </w:tcMar>
          </w:tcPr>
          <w:p>
            <w:r>
              <w:rPr>
                <w:b w:val="false"/>
                <w:bCs w:val="false"/>
                <w:sz w:val="19"/>
                <w:szCs w:val="19"/>
              </w:rPr>
              <w:t xml:space="preserve">499.25 (FY26, non-current)</w:t>
            </w:r>
          </w:p>
        </w:tc>
        <w:tc>
          <w:tcPr>
            <w:tcW w:type="dxa" w:w="1337"/>
            <w:shd w:fill="FFFFFF" w:val="clear"/>
            <w:tcMar>
              <w:top w:type="dxa" w:w="60"/>
              <w:left w:type="dxa" w:w="100"/>
              <w:bottom w:type="dxa" w:w="60"/>
              <w:right w:type="dxa" w:w="100"/>
            </w:tcMar>
          </w:tcPr>
          <w:p>
            <w:r>
              <w:rPr>
                <w:b w:val="false"/>
                <w:bCs w:val="false"/>
                <w:sz w:val="19"/>
                <w:szCs w:val="19"/>
              </w:rPr>
              <w:t xml:space="preserve">To be confirmed by issuer</w:t>
            </w:r>
          </w:p>
        </w:tc>
      </w:tr>
      <w:tr>
        <w:tc>
          <w:tcPr>
            <w:tcW w:type="dxa" w:w="1337"/>
            <w:shd w:fill="F4F6F9" w:val="clear"/>
            <w:tcMar>
              <w:top w:type="dxa" w:w="60"/>
              <w:left w:type="dxa" w:w="100"/>
              <w:bottom w:type="dxa" w:w="60"/>
              <w:right w:type="dxa" w:w="100"/>
            </w:tcMar>
          </w:tcPr>
          <w:p>
            <w:r>
              <w:rPr>
                <w:b w:val="false"/>
                <w:bCs w:val="false"/>
                <w:sz w:val="19"/>
                <w:szCs w:val="19"/>
              </w:rPr>
              <w:t xml:space="preserve">To be confirmed</w:t>
            </w:r>
          </w:p>
        </w:tc>
        <w:tc>
          <w:tcPr>
            <w:tcW w:type="dxa" w:w="1337"/>
            <w:shd w:fill="F4F6F9" w:val="clear"/>
            <w:tcMar>
              <w:top w:type="dxa" w:w="60"/>
              <w:left w:type="dxa" w:w="100"/>
              <w:bottom w:type="dxa" w:w="60"/>
              <w:right w:type="dxa" w:w="100"/>
            </w:tcMar>
          </w:tcPr>
          <w:p>
            <w:r>
              <w:rPr>
                <w:b w:val="false"/>
                <w:bCs w:val="false"/>
                <w:sz w:val="19"/>
                <w:szCs w:val="19"/>
              </w:rPr>
              <w:t xml:space="preserve">7.53% Non-Convertible Debentures</w:t>
            </w:r>
          </w:p>
        </w:tc>
        <w:tc>
          <w:tcPr>
            <w:tcW w:type="dxa" w:w="1337"/>
            <w:shd w:fill="F4F6F9" w:val="clear"/>
            <w:tcMar>
              <w:top w:type="dxa" w:w="60"/>
              <w:left w:type="dxa" w:w="100"/>
              <w:bottom w:type="dxa" w:w="60"/>
              <w:right w:type="dxa" w:w="100"/>
            </w:tcMar>
          </w:tcPr>
          <w:p>
            <w:r>
              <w:rPr>
                <w:b w:val="false"/>
                <w:bCs w:val="false"/>
                <w:sz w:val="19"/>
                <w:szCs w:val="19"/>
              </w:rPr>
              <w:t xml:space="preserve">See source note</w:t>
            </w:r>
          </w:p>
        </w:tc>
        <w:tc>
          <w:tcPr>
            <w:tcW w:type="dxa" w:w="1337"/>
            <w:shd w:fill="F4F6F9" w:val="clear"/>
            <w:tcMar>
              <w:top w:type="dxa" w:w="60"/>
              <w:left w:type="dxa" w:w="100"/>
              <w:bottom w:type="dxa" w:w="60"/>
              <w:right w:type="dxa" w:w="100"/>
            </w:tcMar>
          </w:tcPr>
          <w:p>
            <w:r>
              <w:rPr>
                <w:b w:val="false"/>
                <w:bCs w:val="false"/>
                <w:sz w:val="19"/>
                <w:szCs w:val="19"/>
              </w:rPr>
              <w:t xml:space="preserve">7.53%</w:t>
            </w:r>
          </w:p>
        </w:tc>
        <w:tc>
          <w:tcPr>
            <w:tcW w:type="dxa" w:w="1337"/>
            <w:shd w:fill="F4F6F9" w:val="clear"/>
            <w:tcMar>
              <w:top w:type="dxa" w:w="60"/>
              <w:left w:type="dxa" w:w="100"/>
              <w:bottom w:type="dxa" w:w="60"/>
              <w:right w:type="dxa" w:w="100"/>
            </w:tcMar>
          </w:tcPr>
          <w:p>
            <w:r>
              <w:rPr>
                <w:b w:val="false"/>
                <w:bCs w:val="false"/>
                <w:sz w:val="19"/>
                <w:szCs w:val="19"/>
              </w:rPr>
              <w:t xml:space="preserve">13-Sep-2027 (bullet)</w:t>
            </w:r>
          </w:p>
        </w:tc>
        <w:tc>
          <w:tcPr>
            <w:tcW w:type="dxa" w:w="1337"/>
            <w:shd w:fill="F4F6F9" w:val="clear"/>
            <w:tcMar>
              <w:top w:type="dxa" w:w="60"/>
              <w:left w:type="dxa" w:w="100"/>
              <w:bottom w:type="dxa" w:w="60"/>
              <w:right w:type="dxa" w:w="100"/>
            </w:tcMar>
          </w:tcPr>
          <w:p>
            <w:r>
              <w:rPr>
                <w:b w:val="false"/>
                <w:bCs w:val="false"/>
                <w:sz w:val="19"/>
                <w:szCs w:val="19"/>
              </w:rPr>
              <w:t xml:space="preserve">249.91 (FY26, non-current)</w:t>
            </w:r>
          </w:p>
        </w:tc>
        <w:tc>
          <w:tcPr>
            <w:tcW w:type="dxa" w:w="1337"/>
            <w:shd w:fill="F4F6F9" w:val="clear"/>
            <w:tcMar>
              <w:top w:type="dxa" w:w="60"/>
              <w:left w:type="dxa" w:w="100"/>
              <w:bottom w:type="dxa" w:w="60"/>
              <w:right w:type="dxa" w:w="100"/>
            </w:tcMar>
          </w:tcPr>
          <w:p>
            <w:r>
              <w:rPr>
                <w:b w:val="false"/>
                <w:bCs w:val="false"/>
                <w:sz w:val="19"/>
                <w:szCs w:val="19"/>
              </w:rPr>
              <w:t xml:space="preserve">To be confirmed by issuer</w:t>
            </w:r>
          </w:p>
        </w:tc>
      </w:tr>
      <w:tr>
        <w:tc>
          <w:tcPr>
            <w:tcW w:type="dxa" w:w="1337"/>
            <w:shd w:fill="FFFFFF" w:val="clear"/>
            <w:tcMar>
              <w:top w:type="dxa" w:w="60"/>
              <w:left w:type="dxa" w:w="100"/>
              <w:bottom w:type="dxa" w:w="60"/>
              <w:right w:type="dxa" w:w="100"/>
            </w:tcMar>
          </w:tcPr>
          <w:p>
            <w:r>
              <w:rPr>
                <w:b w:val="false"/>
                <w:bCs w:val="false"/>
                <w:sz w:val="19"/>
                <w:szCs w:val="19"/>
              </w:rPr>
              <w:t xml:space="preserve">To be confirmed</w:t>
            </w:r>
          </w:p>
        </w:tc>
        <w:tc>
          <w:tcPr>
            <w:tcW w:type="dxa" w:w="1337"/>
            <w:shd w:fill="FFFFFF" w:val="clear"/>
            <w:tcMar>
              <w:top w:type="dxa" w:w="60"/>
              <w:left w:type="dxa" w:w="100"/>
              <w:bottom w:type="dxa" w:w="60"/>
              <w:right w:type="dxa" w:w="100"/>
            </w:tcMar>
          </w:tcPr>
          <w:p>
            <w:r>
              <w:rPr>
                <w:b w:val="false"/>
                <w:bCs w:val="false"/>
                <w:sz w:val="19"/>
                <w:szCs w:val="19"/>
              </w:rPr>
              <w:t xml:space="preserve">8.65% Non-Convertible Debentures</w:t>
            </w:r>
          </w:p>
        </w:tc>
        <w:tc>
          <w:tcPr>
            <w:tcW w:type="dxa" w:w="1337"/>
            <w:shd w:fill="FFFFFF" w:val="clear"/>
            <w:tcMar>
              <w:top w:type="dxa" w:w="60"/>
              <w:left w:type="dxa" w:w="100"/>
              <w:bottom w:type="dxa" w:w="60"/>
              <w:right w:type="dxa" w:w="100"/>
            </w:tcMar>
          </w:tcPr>
          <w:p>
            <w:r>
              <w:rPr>
                <w:b w:val="false"/>
                <w:bCs w:val="false"/>
                <w:sz w:val="19"/>
                <w:szCs w:val="19"/>
              </w:rPr>
              <w:t xml:space="preserve">See source note</w:t>
            </w:r>
          </w:p>
        </w:tc>
        <w:tc>
          <w:tcPr>
            <w:tcW w:type="dxa" w:w="1337"/>
            <w:shd w:fill="FFFFFF" w:val="clear"/>
            <w:tcMar>
              <w:top w:type="dxa" w:w="60"/>
              <w:left w:type="dxa" w:w="100"/>
              <w:bottom w:type="dxa" w:w="60"/>
              <w:right w:type="dxa" w:w="100"/>
            </w:tcMar>
          </w:tcPr>
          <w:p>
            <w:r>
              <w:rPr>
                <w:b w:val="false"/>
                <w:bCs w:val="false"/>
                <w:sz w:val="19"/>
                <w:szCs w:val="19"/>
              </w:rPr>
              <w:t xml:space="preserve">8.65%</w:t>
            </w:r>
          </w:p>
        </w:tc>
        <w:tc>
          <w:tcPr>
            <w:tcW w:type="dxa" w:w="1337"/>
            <w:shd w:fill="FFFFFF" w:val="clear"/>
            <w:tcMar>
              <w:top w:type="dxa" w:w="60"/>
              <w:left w:type="dxa" w:w="100"/>
              <w:bottom w:type="dxa" w:w="60"/>
              <w:right w:type="dxa" w:w="100"/>
            </w:tcMar>
          </w:tcPr>
          <w:p>
            <w:r>
              <w:rPr>
                <w:b w:val="false"/>
                <w:bCs w:val="false"/>
                <w:sz w:val="19"/>
                <w:szCs w:val="19"/>
              </w:rPr>
              <w:t xml:space="preserve">30-Apr-2026 (bullet)</w:t>
            </w:r>
          </w:p>
        </w:tc>
        <w:tc>
          <w:tcPr>
            <w:tcW w:type="dxa" w:w="1337"/>
            <w:shd w:fill="FFFFFF" w:val="clear"/>
            <w:tcMar>
              <w:top w:type="dxa" w:w="60"/>
              <w:left w:type="dxa" w:w="100"/>
              <w:bottom w:type="dxa" w:w="60"/>
              <w:right w:type="dxa" w:w="100"/>
            </w:tcMar>
          </w:tcPr>
          <w:p>
            <w:r>
              <w:rPr>
                <w:b w:val="false"/>
                <w:bCs w:val="false"/>
                <w:sz w:val="19"/>
                <w:szCs w:val="19"/>
              </w:rPr>
              <w:t xml:space="preserve">115.00 (FY26, current maturity)</w:t>
            </w:r>
          </w:p>
        </w:tc>
        <w:tc>
          <w:tcPr>
            <w:tcW w:type="dxa" w:w="1337"/>
            <w:shd w:fill="FFFFFF" w:val="clear"/>
            <w:tcMar>
              <w:top w:type="dxa" w:w="60"/>
              <w:left w:type="dxa" w:w="100"/>
              <w:bottom w:type="dxa" w:w="60"/>
              <w:right w:type="dxa" w:w="100"/>
            </w:tcMar>
          </w:tcPr>
          <w:p>
            <w:r>
              <w:rPr>
                <w:b w:val="false"/>
                <w:bCs w:val="false"/>
                <w:sz w:val="19"/>
                <w:szCs w:val="19"/>
              </w:rPr>
              <w:t xml:space="preserve">To be confirmed by issuer</w:t>
            </w:r>
          </w:p>
        </w:tc>
      </w:tr>
      <w:tr>
        <w:tc>
          <w:tcPr>
            <w:tcW w:type="dxa" w:w="1337"/>
            <w:shd w:fill="F4F6F9" w:val="clear"/>
            <w:tcMar>
              <w:top w:type="dxa" w:w="60"/>
              <w:left w:type="dxa" w:w="100"/>
              <w:bottom w:type="dxa" w:w="60"/>
              <w:right w:type="dxa" w:w="100"/>
            </w:tcMar>
          </w:tcPr>
          <w:p>
            <w:r>
              <w:rPr>
                <w:b w:val="false"/>
                <w:bCs w:val="false"/>
                <w:sz w:val="19"/>
                <w:szCs w:val="19"/>
              </w:rPr>
              <w:t xml:space="preserve">—</w:t>
            </w:r>
          </w:p>
        </w:tc>
        <w:tc>
          <w:tcPr>
            <w:tcW w:type="dxa" w:w="1337"/>
            <w:shd w:fill="F4F6F9" w:val="clear"/>
            <w:tcMar>
              <w:top w:type="dxa" w:w="60"/>
              <w:left w:type="dxa" w:w="100"/>
              <w:bottom w:type="dxa" w:w="60"/>
              <w:right w:type="dxa" w:w="100"/>
            </w:tcMar>
          </w:tcPr>
          <w:p>
            <w:r>
              <w:rPr>
                <w:b w:val="false"/>
                <w:bCs w:val="false"/>
                <w:sz w:val="19"/>
                <w:szCs w:val="19"/>
              </w:rPr>
              <w:t xml:space="preserve">Rupee Term Loan II</w:t>
            </w:r>
          </w:p>
        </w:tc>
        <w:tc>
          <w:tcPr>
            <w:tcW w:type="dxa" w:w="1337"/>
            <w:shd w:fill="F4F6F9" w:val="clear"/>
            <w:tcMar>
              <w:top w:type="dxa" w:w="60"/>
              <w:left w:type="dxa" w:w="100"/>
              <w:bottom w:type="dxa" w:w="60"/>
              <w:right w:type="dxa" w:w="100"/>
            </w:tcMar>
          </w:tcPr>
          <w:p>
            <w:r>
              <w:rPr>
                <w:b w:val="false"/>
                <w:bCs w:val="false"/>
                <w:sz w:val="19"/>
                <w:szCs w:val="19"/>
              </w:rPr>
              <w:t xml:space="preserve">—</w:t>
            </w:r>
          </w:p>
        </w:tc>
        <w:tc>
          <w:tcPr>
            <w:tcW w:type="dxa" w:w="1337"/>
            <w:shd w:fill="F4F6F9" w:val="clear"/>
            <w:tcMar>
              <w:top w:type="dxa" w:w="60"/>
              <w:left w:type="dxa" w:w="100"/>
              <w:bottom w:type="dxa" w:w="60"/>
              <w:right w:type="dxa" w:w="100"/>
            </w:tcMar>
          </w:tcPr>
          <w:p>
            <w:r>
              <w:rPr>
                <w:b w:val="false"/>
                <w:bCs w:val="false"/>
                <w:sz w:val="19"/>
                <w:szCs w:val="19"/>
              </w:rPr>
              <w:t xml:space="preserve">5-8% p.a.</w:t>
            </w:r>
          </w:p>
        </w:tc>
        <w:tc>
          <w:tcPr>
            <w:tcW w:type="dxa" w:w="1337"/>
            <w:shd w:fill="F4F6F9" w:val="clear"/>
            <w:tcMar>
              <w:top w:type="dxa" w:w="60"/>
              <w:left w:type="dxa" w:w="100"/>
              <w:bottom w:type="dxa" w:w="60"/>
              <w:right w:type="dxa" w:w="100"/>
            </w:tcMar>
          </w:tcPr>
          <w:p>
            <w:r>
              <w:rPr>
                <w:b w:val="false"/>
                <w:bCs w:val="false"/>
                <w:sz w:val="19"/>
                <w:szCs w:val="19"/>
              </w:rPr>
              <w:t xml:space="preserve">33 quarterly instalments from 31-Mar-2022</w:t>
            </w:r>
          </w:p>
        </w:tc>
        <w:tc>
          <w:tcPr>
            <w:tcW w:type="dxa" w:w="1337"/>
            <w:shd w:fill="F4F6F9" w:val="clear"/>
            <w:tcMar>
              <w:top w:type="dxa" w:w="60"/>
              <w:left w:type="dxa" w:w="100"/>
              <w:bottom w:type="dxa" w:w="60"/>
              <w:right w:type="dxa" w:w="100"/>
            </w:tcMar>
          </w:tcPr>
          <w:p>
            <w:r>
              <w:rPr>
                <w:b w:val="false"/>
                <w:bCs w:val="false"/>
                <w:sz w:val="19"/>
                <w:szCs w:val="19"/>
              </w:rPr>
              <w:t xml:space="preserve">611.85 (FY26, incl. current maturity)</w:t>
            </w:r>
          </w:p>
        </w:tc>
        <w:tc>
          <w:tcPr>
            <w:tcW w:type="dxa" w:w="1337"/>
            <w:shd w:fill="F4F6F9" w:val="clear"/>
            <w:tcMar>
              <w:top w:type="dxa" w:w="60"/>
              <w:left w:type="dxa" w:w="100"/>
              <w:bottom w:type="dxa" w:w="60"/>
              <w:right w:type="dxa" w:w="100"/>
            </w:tcMar>
          </w:tcPr>
          <w:p>
            <w:r>
              <w:rPr>
                <w:b w:val="false"/>
                <w:bCs w:val="false"/>
                <w:sz w:val="19"/>
                <w:szCs w:val="19"/>
              </w:rPr>
              <w:t xml:space="preserve">To be confirmed by issuer</w:t>
            </w:r>
          </w:p>
        </w:tc>
      </w:tr>
      <w:tr>
        <w:tc>
          <w:tcPr>
            <w:tcW w:type="dxa" w:w="1337"/>
            <w:shd w:fill="FFFFFF" w:val="clear"/>
            <w:tcMar>
              <w:top w:type="dxa" w:w="60"/>
              <w:left w:type="dxa" w:w="100"/>
              <w:bottom w:type="dxa" w:w="60"/>
              <w:right w:type="dxa" w:w="100"/>
            </w:tcMar>
          </w:tcPr>
          <w:p>
            <w:r>
              <w:rPr>
                <w:b w:val="false"/>
                <w:bCs w:val="false"/>
                <w:sz w:val="19"/>
                <w:szCs w:val="19"/>
              </w:rPr>
              <w:t xml:space="preserve">—</w:t>
            </w:r>
          </w:p>
        </w:tc>
        <w:tc>
          <w:tcPr>
            <w:tcW w:type="dxa" w:w="1337"/>
            <w:shd w:fill="FFFFFF" w:val="clear"/>
            <w:tcMar>
              <w:top w:type="dxa" w:w="60"/>
              <w:left w:type="dxa" w:w="100"/>
              <w:bottom w:type="dxa" w:w="60"/>
              <w:right w:type="dxa" w:w="100"/>
            </w:tcMar>
          </w:tcPr>
          <w:p>
            <w:r>
              <w:rPr>
                <w:b w:val="false"/>
                <w:bCs w:val="false"/>
                <w:sz w:val="19"/>
                <w:szCs w:val="19"/>
              </w:rPr>
              <w:t xml:space="preserve">Rupee Term Loan III</w:t>
            </w:r>
          </w:p>
        </w:tc>
        <w:tc>
          <w:tcPr>
            <w:tcW w:type="dxa" w:w="1337"/>
            <w:shd w:fill="FFFFFF" w:val="clear"/>
            <w:tcMar>
              <w:top w:type="dxa" w:w="60"/>
              <w:left w:type="dxa" w:w="100"/>
              <w:bottom w:type="dxa" w:w="60"/>
              <w:right w:type="dxa" w:w="100"/>
            </w:tcMar>
          </w:tcPr>
          <w:p>
            <w:r>
              <w:rPr>
                <w:b w:val="false"/>
                <w:bCs w:val="false"/>
                <w:sz w:val="19"/>
                <w:szCs w:val="19"/>
              </w:rPr>
              <w:t xml:space="preserve">—</w:t>
            </w:r>
          </w:p>
        </w:tc>
        <w:tc>
          <w:tcPr>
            <w:tcW w:type="dxa" w:w="1337"/>
            <w:shd w:fill="FFFFFF" w:val="clear"/>
            <w:tcMar>
              <w:top w:type="dxa" w:w="60"/>
              <w:left w:type="dxa" w:w="100"/>
              <w:bottom w:type="dxa" w:w="60"/>
              <w:right w:type="dxa" w:w="100"/>
            </w:tcMar>
          </w:tcPr>
          <w:p>
            <w:r>
              <w:rPr>
                <w:b w:val="false"/>
                <w:bCs w:val="false"/>
                <w:sz w:val="19"/>
                <w:szCs w:val="19"/>
              </w:rPr>
              <w:t xml:space="preserve">6-7% p.a.</w:t>
            </w:r>
          </w:p>
        </w:tc>
        <w:tc>
          <w:tcPr>
            <w:tcW w:type="dxa" w:w="1337"/>
            <w:shd w:fill="FFFFFF" w:val="clear"/>
            <w:tcMar>
              <w:top w:type="dxa" w:w="60"/>
              <w:left w:type="dxa" w:w="100"/>
              <w:bottom w:type="dxa" w:w="60"/>
              <w:right w:type="dxa" w:w="100"/>
            </w:tcMar>
          </w:tcPr>
          <w:p>
            <w:r>
              <w:rPr>
                <w:b w:val="false"/>
                <w:bCs w:val="false"/>
                <w:sz w:val="19"/>
                <w:szCs w:val="19"/>
              </w:rPr>
              <w:t xml:space="preserve">32 quarterly instalments from 30-Apr-2022</w:t>
            </w:r>
          </w:p>
        </w:tc>
        <w:tc>
          <w:tcPr>
            <w:tcW w:type="dxa" w:w="1337"/>
            <w:shd w:fill="FFFFFF" w:val="clear"/>
            <w:tcMar>
              <w:top w:type="dxa" w:w="60"/>
              <w:left w:type="dxa" w:w="100"/>
              <w:bottom w:type="dxa" w:w="60"/>
              <w:right w:type="dxa" w:w="100"/>
            </w:tcMar>
          </w:tcPr>
          <w:p>
            <w:r>
              <w:rPr>
                <w:b w:val="false"/>
                <w:bCs w:val="false"/>
                <w:sz w:val="19"/>
                <w:szCs w:val="19"/>
              </w:rPr>
              <w:t xml:space="preserve">333.59 (FY26, incl. current maturity)</w:t>
            </w:r>
          </w:p>
        </w:tc>
        <w:tc>
          <w:tcPr>
            <w:tcW w:type="dxa" w:w="1337"/>
            <w:shd w:fill="FFFFFF" w:val="clear"/>
            <w:tcMar>
              <w:top w:type="dxa" w:w="60"/>
              <w:left w:type="dxa" w:w="100"/>
              <w:bottom w:type="dxa" w:w="60"/>
              <w:right w:type="dxa" w:w="100"/>
            </w:tcMar>
          </w:tcPr>
          <w:p>
            <w:r>
              <w:rPr>
                <w:b w:val="false"/>
                <w:bCs w:val="false"/>
                <w:sz w:val="19"/>
                <w:szCs w:val="19"/>
              </w:rPr>
              <w:t xml:space="preserve">To be confirmed by issuer</w:t>
            </w:r>
          </w:p>
        </w:tc>
      </w:tr>
      <w:tr>
        <w:tc>
          <w:tcPr>
            <w:tcW w:type="dxa" w:w="1337"/>
            <w:shd w:fill="F4F6F9" w:val="clear"/>
            <w:tcMar>
              <w:top w:type="dxa" w:w="60"/>
              <w:left w:type="dxa" w:w="100"/>
              <w:bottom w:type="dxa" w:w="60"/>
              <w:right w:type="dxa" w:w="100"/>
            </w:tcMar>
          </w:tcPr>
          <w:p>
            <w:r>
              <w:rPr>
                <w:b w:val="false"/>
                <w:bCs w:val="false"/>
                <w:sz w:val="19"/>
                <w:szCs w:val="19"/>
              </w:rPr>
              <w:t xml:space="preserve">—</w:t>
            </w:r>
          </w:p>
        </w:tc>
        <w:tc>
          <w:tcPr>
            <w:tcW w:type="dxa" w:w="1337"/>
            <w:shd w:fill="F4F6F9" w:val="clear"/>
            <w:tcMar>
              <w:top w:type="dxa" w:w="60"/>
              <w:left w:type="dxa" w:w="100"/>
              <w:bottom w:type="dxa" w:w="60"/>
              <w:right w:type="dxa" w:w="100"/>
            </w:tcMar>
          </w:tcPr>
          <w:p>
            <w:r>
              <w:rPr>
                <w:b w:val="false"/>
                <w:bCs w:val="false"/>
                <w:sz w:val="19"/>
                <w:szCs w:val="19"/>
              </w:rPr>
              <w:t xml:space="preserve">Commercial paper</w:t>
            </w:r>
          </w:p>
        </w:tc>
        <w:tc>
          <w:tcPr>
            <w:tcW w:type="dxa" w:w="1337"/>
            <w:shd w:fill="F4F6F9" w:val="clear"/>
            <w:tcMar>
              <w:top w:type="dxa" w:w="60"/>
              <w:left w:type="dxa" w:w="100"/>
              <w:bottom w:type="dxa" w:w="60"/>
              <w:right w:type="dxa" w:w="100"/>
            </w:tcMar>
          </w:tcPr>
          <w:p>
            <w:r>
              <w:rPr>
                <w:b w:val="false"/>
                <w:bCs w:val="false"/>
                <w:sz w:val="19"/>
                <w:szCs w:val="19"/>
              </w:rPr>
              <w:t xml:space="preserve">—</w:t>
            </w:r>
          </w:p>
        </w:tc>
        <w:tc>
          <w:tcPr>
            <w:tcW w:type="dxa" w:w="1337"/>
            <w:shd w:fill="F4F6F9" w:val="clear"/>
            <w:tcMar>
              <w:top w:type="dxa" w:w="60"/>
              <w:left w:type="dxa" w:w="100"/>
              <w:bottom w:type="dxa" w:w="60"/>
              <w:right w:type="dxa" w:w="100"/>
            </w:tcMar>
          </w:tcPr>
          <w:p>
            <w:r>
              <w:rPr>
                <w:b w:val="false"/>
                <w:bCs w:val="false"/>
                <w:sz w:val="19"/>
                <w:szCs w:val="19"/>
              </w:rPr>
              <w:t xml:space="preserve">—</w:t>
            </w:r>
          </w:p>
        </w:tc>
        <w:tc>
          <w:tcPr>
            <w:tcW w:type="dxa" w:w="1337"/>
            <w:shd w:fill="F4F6F9" w:val="clear"/>
            <w:tcMar>
              <w:top w:type="dxa" w:w="60"/>
              <w:left w:type="dxa" w:w="100"/>
              <w:bottom w:type="dxa" w:w="60"/>
              <w:right w:type="dxa" w:w="100"/>
            </w:tcMar>
          </w:tcPr>
          <w:p>
            <w:r>
              <w:rPr>
                <w:b w:val="false"/>
                <w:bCs w:val="false"/>
                <w:sz w:val="19"/>
                <w:szCs w:val="19"/>
              </w:rPr>
              <w:t xml:space="preserve">—</w:t>
            </w:r>
          </w:p>
        </w:tc>
        <w:tc>
          <w:tcPr>
            <w:tcW w:type="dxa" w:w="1337"/>
            <w:shd w:fill="F4F6F9" w:val="clear"/>
            <w:tcMar>
              <w:top w:type="dxa" w:w="60"/>
              <w:left w:type="dxa" w:w="100"/>
              <w:bottom w:type="dxa" w:w="60"/>
              <w:right w:type="dxa" w:w="100"/>
            </w:tcMar>
          </w:tcPr>
          <w:p>
            <w:r>
              <w:rPr>
                <w:b w:val="false"/>
                <w:bCs w:val="false"/>
                <w:sz w:val="19"/>
                <w:szCs w:val="19"/>
              </w:rPr>
              <w:t xml:space="preserve">Nil outstanding at FY26 year-end (fully repaid within tenure)</w:t>
            </w:r>
          </w:p>
        </w:tc>
        <w:tc>
          <w:tcPr>
            <w:tcW w:type="dxa" w:w="1337"/>
            <w:shd w:fill="F4F6F9" w:val="clear"/>
            <w:tcMar>
              <w:top w:type="dxa" w:w="60"/>
              <w:left w:type="dxa" w:w="100"/>
              <w:bottom w:type="dxa" w:w="60"/>
              <w:right w:type="dxa" w:w="100"/>
            </w:tcMar>
          </w:tcPr>
          <w:p>
            <w:r>
              <w:rPr>
                <w:b w:val="false"/>
                <w:bCs w:val="false"/>
                <w:sz w:val="19"/>
                <w:szCs w:val="19"/>
              </w:rPr>
              <w:t xml:space="preserve">Crisil A1+</w:t>
            </w:r>
          </w:p>
        </w:tc>
      </w:tr>
      <w:tr>
        <w:tc>
          <w:tcPr>
            <w:tcW w:type="dxa" w:w="1337"/>
            <w:shd w:fill="FFFFFF" w:val="clear"/>
            <w:tcMar>
              <w:top w:type="dxa" w:w="60"/>
              <w:left w:type="dxa" w:w="100"/>
              <w:bottom w:type="dxa" w:w="60"/>
              <w:right w:type="dxa" w:w="100"/>
            </w:tcMar>
          </w:tcPr>
          <w:p>
            <w:r>
              <w:rPr>
                <w:b w:val="false"/>
                <w:bCs w:val="false"/>
                <w:sz w:val="19"/>
                <w:szCs w:val="19"/>
              </w:rPr>
              <w:t xml:space="preserve">—</w:t>
            </w:r>
          </w:p>
        </w:tc>
        <w:tc>
          <w:tcPr>
            <w:tcW w:type="dxa" w:w="1337"/>
            <w:shd w:fill="FFFFFF" w:val="clear"/>
            <w:tcMar>
              <w:top w:type="dxa" w:w="60"/>
              <w:left w:type="dxa" w:w="100"/>
              <w:bottom w:type="dxa" w:w="60"/>
              <w:right w:type="dxa" w:w="100"/>
            </w:tcMar>
          </w:tcPr>
          <w:p>
            <w:r>
              <w:rPr>
                <w:b w:val="false"/>
                <w:bCs w:val="false"/>
                <w:sz w:val="19"/>
                <w:szCs w:val="19"/>
              </w:rPr>
              <w:t xml:space="preserve">Bank facilities (fund-based/non-fund-based)</w:t>
            </w:r>
          </w:p>
        </w:tc>
        <w:tc>
          <w:tcPr>
            <w:tcW w:type="dxa" w:w="1337"/>
            <w:shd w:fill="FFFFFF" w:val="clear"/>
            <w:tcMar>
              <w:top w:type="dxa" w:w="60"/>
              <w:left w:type="dxa" w:w="100"/>
              <w:bottom w:type="dxa" w:w="60"/>
              <w:right w:type="dxa" w:w="100"/>
            </w:tcMar>
          </w:tcPr>
          <w:p>
            <w:r>
              <w:rPr>
                <w:b w:val="false"/>
                <w:bCs w:val="false"/>
                <w:sz w:val="19"/>
                <w:szCs w:val="19"/>
              </w:rPr>
              <w:t xml:space="preserve">—</w:t>
            </w:r>
          </w:p>
        </w:tc>
        <w:tc>
          <w:tcPr>
            <w:tcW w:type="dxa" w:w="1337"/>
            <w:shd w:fill="FFFFFF" w:val="clear"/>
            <w:tcMar>
              <w:top w:type="dxa" w:w="60"/>
              <w:left w:type="dxa" w:w="100"/>
              <w:bottom w:type="dxa" w:w="60"/>
              <w:right w:type="dxa" w:w="100"/>
            </w:tcMar>
          </w:tcPr>
          <w:p>
            <w:r>
              <w:rPr>
                <w:b w:val="false"/>
                <w:bCs w:val="false"/>
                <w:sz w:val="19"/>
                <w:szCs w:val="19"/>
              </w:rPr>
              <w:t xml:space="preserve">—</w:t>
            </w:r>
          </w:p>
        </w:tc>
        <w:tc>
          <w:tcPr>
            <w:tcW w:type="dxa" w:w="1337"/>
            <w:shd w:fill="FFFFFF" w:val="clear"/>
            <w:tcMar>
              <w:top w:type="dxa" w:w="60"/>
              <w:left w:type="dxa" w:w="100"/>
              <w:bottom w:type="dxa" w:w="60"/>
              <w:right w:type="dxa" w:w="100"/>
            </w:tcMar>
          </w:tcPr>
          <w:p>
            <w:r>
              <w:rPr>
                <w:b w:val="false"/>
                <w:bCs w:val="false"/>
                <w:sz w:val="19"/>
                <w:szCs w:val="19"/>
              </w:rPr>
              <w:t xml:space="preserve">—</w:t>
            </w:r>
          </w:p>
        </w:tc>
        <w:tc>
          <w:tcPr>
            <w:tcW w:type="dxa" w:w="1337"/>
            <w:shd w:fill="FFFFFF" w:val="clear"/>
            <w:tcMar>
              <w:top w:type="dxa" w:w="60"/>
              <w:left w:type="dxa" w:w="100"/>
              <w:bottom w:type="dxa" w:w="60"/>
              <w:right w:type="dxa" w:w="100"/>
            </w:tcMar>
          </w:tcPr>
          <w:p>
            <w:r>
              <w:rPr>
                <w:b w:val="false"/>
                <w:bCs w:val="false"/>
                <w:sz w:val="19"/>
                <w:szCs w:val="19"/>
              </w:rPr>
              <w:t xml:space="preserve">To be confirmed by issuer</w:t>
            </w:r>
          </w:p>
        </w:tc>
        <w:tc>
          <w:tcPr>
            <w:tcW w:type="dxa" w:w="1337"/>
            <w:shd w:fill="FFFFFF" w:val="clear"/>
            <w:tcMar>
              <w:top w:type="dxa" w:w="60"/>
              <w:left w:type="dxa" w:w="100"/>
              <w:bottom w:type="dxa" w:w="60"/>
              <w:right w:type="dxa" w:w="100"/>
            </w:tcMar>
          </w:tcPr>
          <w:p>
            <w:r>
              <w:rPr>
                <w:b w:val="false"/>
                <w:bCs w:val="false"/>
                <w:sz w:val="19"/>
                <w:szCs w:val="19"/>
              </w:rPr>
              <w:t xml:space="preserve">Crisil AA+/Stable / A1+ </w:t>
            </w:r>
            <w:r>
              <w:rPr>
                <w:b w:val="false"/>
                <w:bCs w:val="false"/>
                <w:i/>
                <w:iCs/>
                <w:sz w:val="19"/>
                <w:szCs w:val="19"/>
              </w:rPr>
              <w:t xml:space="preserve">(no sanction letters supplied)</w:t>
            </w:r>
          </w:p>
        </w:tc>
      </w:tr>
    </w:tbl>
    <w:p>
      <w:pPr>
        <w:spacing w:after="200"/>
      </w:pPr>
    </w:p>
    <w:p>
      <w:pPr>
        <w:spacing w:after="160"/>
      </w:pPr>
      <w:r>
        <w:rPr>
          <w:b/>
          <w:bCs/>
          <w:sz w:val="21"/>
          <w:szCs w:val="21"/>
        </w:rPr>
        <w:t xml:space="preserve">Searched and confirmed absent (failure mode 20):</w:t>
      </w:r>
      <w:r>
        <w:rPr>
          <w:sz w:val="21"/>
          <w:szCs w:val="21"/>
        </w:rPr>
        <w:t xml:space="preserve"> all three NCD series in note 7 were searched for </w:t>
      </w:r>
      <w:r>
        <w:rPr>
          <w:rFonts w:ascii="Consolas" w:cs="Consolas" w:eastAsia="Consolas" w:hAnsi="Consolas"/>
          <w:sz w:val="21"/>
          <w:szCs w:val="21"/>
        </w:rPr>
        <w:t xml:space="preserve">INE[0-9A-Z]{9,10}</w:t>
      </w:r>
      <w:r>
        <w:rPr>
          <w:sz w:val="21"/>
          <w:szCs w:val="21"/>
        </w:rPr>
        <w:t xml:space="preserve"> across every document in the case folder — zero hits for any debt-instrument ISIN. The company's equity ISIN (INE438A01022) is disclosed separately and is not a debt instrument. The original date of issuance/allotment for each NCD series was also searched (</w:t>
      </w:r>
      <w:r>
        <w:rPr>
          <w:rFonts w:ascii="Consolas" w:cs="Consolas" w:eastAsia="Consolas" w:hAnsi="Consolas"/>
          <w:sz w:val="21"/>
          <w:szCs w:val="21"/>
        </w:rPr>
        <w:t xml:space="preserve">date of allotment</w:t>
      </w:r>
      <w:r>
        <w:rPr>
          <w:sz w:val="21"/>
          <w:szCs w:val="21"/>
        </w:rPr>
        <w:t xml:space="preserve">, </w:t>
      </w:r>
      <w:r>
        <w:rPr>
          <w:rFonts w:ascii="Consolas" w:cs="Consolas" w:eastAsia="Consolas" w:hAnsi="Consolas"/>
          <w:sz w:val="21"/>
          <w:szCs w:val="21"/>
        </w:rPr>
        <w:t xml:space="preserve">date of issue</w:t>
      </w:r>
      <w:r>
        <w:rPr>
          <w:sz w:val="21"/>
          <w:szCs w:val="21"/>
        </w:rPr>
        <w:t xml:space="preserve">) — zero hits; note 7 gives coupon, redemption terms and security only, not the original issuance date.</w:t>
      </w:r>
    </w:p>
    <w:p>
      <w:pPr>
        <w:spacing w:after="160"/>
      </w:pPr>
      <w:r>
        <w:rPr>
          <w:b/>
          <w:bCs/>
          <w:sz w:val="21"/>
          <w:szCs w:val="21"/>
        </w:rPr>
        <w:t xml:space="preserve">Source note:</w:t>
      </w:r>
      <w:r>
        <w:rPr>
          <w:sz w:val="21"/>
          <w:szCs w:val="21"/>
        </w:rPr>
        <w:t xml:space="preserve"> all figures above are drawn entirely from Apollo Tyres Limited's own FY2025-26 Annual Report (note 7, Borrowings) and are NOT a CRISIL-published rated-amount table — no such table for this issuer was found in </w:t>
      </w:r>
      <w:r>
        <w:rPr>
          <w:rFonts w:ascii="Consolas" w:cs="Consolas" w:eastAsia="Consolas" w:hAnsi="Consolas"/>
          <w:sz w:val="21"/>
          <w:szCs w:val="21"/>
        </w:rPr>
        <w:t xml:space="preserve">CRISIL/Report for Reference/</w:t>
      </w:r>
      <w:r>
        <w:rPr>
          <w:sz w:val="21"/>
          <w:szCs w:val="21"/>
        </w:rPr>
        <w:t xml:space="preserve">. Two peer-named entities (APL Apollo Tubes Limited, Apollo Hospitals Enterprise Limited) do carry rated-amount tables in the library, but neither is the same issuer (name-token match 1/3 in both cases) and importing either would be a worse error than leaving this issuer's own amounts TBC — per Step 1a's own warning. All amounts are disclosed as </w:t>
      </w:r>
      <w:r>
        <w:rPr>
          <w:b/>
          <w:bCs/>
          <w:sz w:val="21"/>
          <w:szCs w:val="21"/>
        </w:rPr>
        <w:t xml:space="preserve">outstanding balances</w:t>
      </w:r>
      <w:r>
        <w:rPr>
          <w:sz w:val="21"/>
          <w:szCs w:val="21"/>
        </w:rPr>
        <w:t xml:space="preserve">, not sanctioned rated limits; the actual rated limits require issuer confirmation.</w:t>
      </w:r>
    </w:p>
    <w:p>
      <w:pPr>
        <w:pStyle w:val="Heading1"/>
        <w:pBdr>
          <w:bottom w:val="single" w:color="0E7C86" w:sz="8" w:space="4"/>
        </w:pBdr>
        <w:spacing w:after="160" w:before="320"/>
      </w:pPr>
      <w:r>
        <w:rPr>
          <w:b/>
          <w:bCs/>
          <w:color w:val="1B2A4A"/>
          <w:sz w:val="30"/>
          <w:szCs w:val="30"/>
        </w:rPr>
        <w:t xml:space="preserve">Annexure II: List of entities considered for consolidated analysis</w:t>
      </w:r>
    </w:p>
    <w:p>
      <w:pPr>
        <w:spacing w:after="160"/>
      </w:pPr>
      <w:r>
        <w:rPr>
          <w:sz w:val="21"/>
          <w:szCs w:val="21"/>
        </w:rPr>
        <w:t xml:space="preserve">All 33 entities below are 100%-owned subsidiaries per Form AOC-1 and are fully consolidated.</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4680"/>
        <w:gridCol w:w="4680"/>
      </w:tblGrid>
      <w:tr>
        <w:trPr>
          <w:tblHeader/>
        </w:trPr>
        <w:tc>
          <w:tcPr>
            <w:tcW w:type="dxa" w:w="4680"/>
            <w:shd w:fill="1B2A4A" w:val="clear"/>
            <w:tcMar>
              <w:top w:type="dxa" w:w="60"/>
              <w:left w:type="dxa" w:w="100"/>
              <w:bottom w:type="dxa" w:w="60"/>
              <w:right w:type="dxa" w:w="100"/>
            </w:tcMar>
          </w:tcPr>
          <w:p>
            <w:r>
              <w:rPr>
                <w:b/>
                <w:bCs/>
                <w:color w:val="FFFFFF"/>
                <w:sz w:val="19"/>
                <w:szCs w:val="19"/>
              </w:rPr>
              <w:t xml:space="preserve">Region</w:t>
            </w:r>
          </w:p>
        </w:tc>
        <w:tc>
          <w:tcPr>
            <w:tcW w:type="dxa" w:w="4680"/>
            <w:shd w:fill="1B2A4A" w:val="clear"/>
            <w:tcMar>
              <w:top w:type="dxa" w:w="60"/>
              <w:left w:type="dxa" w:w="100"/>
              <w:bottom w:type="dxa" w:w="60"/>
              <w:right w:type="dxa" w:w="100"/>
            </w:tcMar>
          </w:tcPr>
          <w:p>
            <w:r>
              <w:rPr>
                <w:b/>
                <w:bCs/>
                <w:color w:val="FFFFFF"/>
                <w:sz w:val="19"/>
                <w:szCs w:val="19"/>
              </w:rPr>
              <w:t xml:space="preserve">Entities</w:t>
            </w:r>
          </w:p>
        </w:tc>
      </w:tr>
      <w:tr>
        <w:tc>
          <w:tcPr>
            <w:tcW w:type="dxa" w:w="4680"/>
            <w:shd w:fill="FFFFFF" w:val="clear"/>
            <w:tcMar>
              <w:top w:type="dxa" w:w="60"/>
              <w:left w:type="dxa" w:w="100"/>
              <w:bottom w:type="dxa" w:w="60"/>
              <w:right w:type="dxa" w:w="100"/>
            </w:tcMar>
          </w:tcPr>
          <w:p>
            <w:r>
              <w:rPr>
                <w:b w:val="false"/>
                <w:bCs w:val="false"/>
                <w:sz w:val="19"/>
                <w:szCs w:val="19"/>
              </w:rPr>
              <w:t xml:space="preserve">India / Group services</w:t>
            </w:r>
          </w:p>
        </w:tc>
        <w:tc>
          <w:tcPr>
            <w:tcW w:type="dxa" w:w="4680"/>
            <w:shd w:fill="FFFFFF" w:val="clear"/>
            <w:tcMar>
              <w:top w:type="dxa" w:w="60"/>
              <w:left w:type="dxa" w:w="100"/>
              <w:bottom w:type="dxa" w:w="60"/>
              <w:right w:type="dxa" w:w="100"/>
            </w:tcMar>
          </w:tcPr>
          <w:p>
            <w:r>
              <w:rPr>
                <w:b w:val="false"/>
                <w:bCs w:val="false"/>
                <w:sz w:val="19"/>
                <w:szCs w:val="19"/>
              </w:rPr>
              <w:t xml:space="preserve">Apollo Tyres Global Business Services Limited; Trusted Mobility Services Limited</w:t>
            </w:r>
          </w:p>
        </w:tc>
      </w:tr>
      <w:tr>
        <w:tc>
          <w:tcPr>
            <w:tcW w:type="dxa" w:w="4680"/>
            <w:shd w:fill="F4F6F9" w:val="clear"/>
            <w:tcMar>
              <w:top w:type="dxa" w:w="60"/>
              <w:left w:type="dxa" w:w="100"/>
              <w:bottom w:type="dxa" w:w="60"/>
              <w:right w:type="dxa" w:w="100"/>
            </w:tcMar>
          </w:tcPr>
          <w:p>
            <w:r>
              <w:rPr>
                <w:b w:val="false"/>
                <w:bCs w:val="false"/>
                <w:sz w:val="19"/>
                <w:szCs w:val="19"/>
              </w:rPr>
              <w:t xml:space="preserve">Netherlands</w:t>
            </w:r>
          </w:p>
        </w:tc>
        <w:tc>
          <w:tcPr>
            <w:tcW w:type="dxa" w:w="4680"/>
            <w:shd w:fill="F4F6F9" w:val="clear"/>
            <w:tcMar>
              <w:top w:type="dxa" w:w="60"/>
              <w:left w:type="dxa" w:w="100"/>
              <w:bottom w:type="dxa" w:w="60"/>
              <w:right w:type="dxa" w:w="100"/>
            </w:tcMar>
          </w:tcPr>
          <w:p>
            <w:r>
              <w:rPr>
                <w:b w:val="false"/>
                <w:bCs w:val="false"/>
                <w:sz w:val="19"/>
                <w:szCs w:val="19"/>
              </w:rPr>
              <w:t xml:space="preserve">Apollo Tyres (Greenfield) B.V.; Apollo Tyres Cooperatief U.A.; Apollo Tyres Global R&amp;D B.V.; Apollo Tyres (Europe) B.V.; </w:t>
            </w:r>
            <w:r>
              <w:rPr>
                <w:b w:val="false"/>
                <w:bCs w:val="false"/>
                <w:sz w:val="19"/>
                <w:szCs w:val="19"/>
              </w:rPr>
              <w:t xml:space="preserve">Apollo Tyres (NL) B.V.</w:t>
            </w:r>
            <w:r>
              <w:rPr>
                <w:b w:val="false"/>
                <w:bCs w:val="false"/>
                <w:sz w:val="19"/>
                <w:szCs w:val="19"/>
              </w:rPr>
              <w:t xml:space="preserve"> (discontinued Enschede manufacturing, FY2026); Vredestein Consulting B.V.; Finlo B.V.</w:t>
            </w:r>
          </w:p>
        </w:tc>
      </w:tr>
      <w:tr>
        <w:tc>
          <w:tcPr>
            <w:tcW w:type="dxa" w:w="4680"/>
            <w:shd w:fill="FFFFFF" w:val="clear"/>
            <w:tcMar>
              <w:top w:type="dxa" w:w="60"/>
              <w:left w:type="dxa" w:w="100"/>
              <w:bottom w:type="dxa" w:w="60"/>
              <w:right w:type="dxa" w:w="100"/>
            </w:tcMar>
          </w:tcPr>
          <w:p>
            <w:r>
              <w:rPr>
                <w:b w:val="false"/>
                <w:bCs w:val="false"/>
                <w:sz w:val="19"/>
                <w:szCs w:val="19"/>
              </w:rPr>
              <w:t xml:space="preserve">Other Europe</w:t>
            </w:r>
          </w:p>
        </w:tc>
        <w:tc>
          <w:tcPr>
            <w:tcW w:type="dxa" w:w="4680"/>
            <w:shd w:fill="FFFFFF" w:val="clear"/>
            <w:tcMar>
              <w:top w:type="dxa" w:w="60"/>
              <w:left w:type="dxa" w:w="100"/>
              <w:bottom w:type="dxa" w:w="60"/>
              <w:right w:type="dxa" w:w="100"/>
            </w:tcMar>
          </w:tcPr>
          <w:p>
            <w:r>
              <w:rPr>
                <w:b w:val="false"/>
                <w:bCs w:val="false"/>
                <w:sz w:val="19"/>
                <w:szCs w:val="19"/>
              </w:rPr>
              <w:t xml:space="preserve">Apollo Tyres AG (Switzerland/Germany); Apollo Tyres (Hungary) Kft.; Apollo Tyres (Hungary) Sales Kft; Apollo Tyres (Germany) GmbH; Apollo Tyres (Nordic) A.B.; Apollo Tyres (UK) Holdings Ltd; Apollo Tyres (UK) Sales Ltd; Apollo Tyres (London) Pvt Ltd; Apollo Tyres (France) SAS; Apollo Tyres (Belux) SA; Apollo Tyres (Austria) Gesellschaft mbH; Apollo Tyres (Schweiz) AG; Apollo Tyres Iberica S.A.U.; Apollo Tyres (Polska) Sp. Z.o.o.; Reifencom GmbH, Hannover</w:t>
            </w:r>
          </w:p>
        </w:tc>
      </w:tr>
      <w:tr>
        <w:tc>
          <w:tcPr>
            <w:tcW w:type="dxa" w:w="4680"/>
            <w:shd w:fill="F4F6F9" w:val="clear"/>
            <w:tcMar>
              <w:top w:type="dxa" w:w="60"/>
              <w:left w:type="dxa" w:w="100"/>
              <w:bottom w:type="dxa" w:w="60"/>
              <w:right w:type="dxa" w:w="100"/>
            </w:tcMar>
          </w:tcPr>
          <w:p>
            <w:r>
              <w:rPr>
                <w:b w:val="false"/>
                <w:bCs w:val="false"/>
                <w:sz w:val="19"/>
                <w:szCs w:val="19"/>
              </w:rPr>
              <w:t xml:space="preserve">Rest of world</w:t>
            </w:r>
          </w:p>
        </w:tc>
        <w:tc>
          <w:tcPr>
            <w:tcW w:type="dxa" w:w="4680"/>
            <w:shd w:fill="F4F6F9" w:val="clear"/>
            <w:tcMar>
              <w:top w:type="dxa" w:w="60"/>
              <w:left w:type="dxa" w:w="100"/>
              <w:bottom w:type="dxa" w:w="60"/>
              <w:right w:type="dxa" w:w="100"/>
            </w:tcMar>
          </w:tcPr>
          <w:p>
            <w:r>
              <w:rPr>
                <w:b w:val="false"/>
                <w:bCs w:val="false"/>
                <w:sz w:val="19"/>
                <w:szCs w:val="19"/>
              </w:rPr>
              <w:t xml:space="preserve">Apollo Tires (US) Inc.; Apollo (South Africa) Holdings (Pty) Ltd; Apollo Tyres Africa (Pty) Ltd; Apollo Tyres (Thailand) Limited; Apollo Tyres (Middle East) FZE; Apollo Tyres Holdings (Singapore) Pte Ltd; Apollo Tyres Do (Brasil) Ltda; Reifencom Tyre (Qingdao) Co., Ltd.; Saturn F1 Pvt Ltd</w:t>
            </w:r>
          </w:p>
        </w:tc>
      </w:tr>
    </w:tbl>
    <w:p>
      <w:pPr>
        <w:spacing w:after="200"/>
      </w:pPr>
    </w:p>
    <w:p>
      <w:pPr>
        <w:spacing w:after="160"/>
      </w:pPr>
      <w:r>
        <w:rPr>
          <w:sz w:val="21"/>
          <w:szCs w:val="21"/>
        </w:rPr>
        <w:t xml:space="preserve">Source: Form AOC-1, FY2025-26 Annual Report. All entities are named per the Companies Act, 2013 requirement, regardless of individual materiality.</w:t>
      </w:r>
    </w:p>
    <w:p>
      <w:pPr>
        <w:pStyle w:val="Heading1"/>
        <w:pBdr>
          <w:bottom w:val="single" w:color="0E7C86" w:sz="8" w:space="4"/>
        </w:pBdr>
        <w:spacing w:after="160" w:before="320"/>
      </w:pPr>
      <w:r>
        <w:rPr>
          <w:b/>
          <w:bCs/>
          <w:color w:val="1B2A4A"/>
          <w:sz w:val="30"/>
          <w:szCs w:val="30"/>
        </w:rPr>
        <w:t xml:space="preserve">Criteria Details</w:t>
      </w:r>
    </w:p>
    <w:p>
      <w:pPr>
        <w:spacing w:after="160"/>
      </w:pPr>
      <w:r>
        <w:rPr>
          <w:sz w:val="21"/>
          <w:szCs w:val="21"/>
        </w:rPr>
        <w:t xml:space="preserve">Applicable criteria: CRISIL Ratings methodology for manufacturing and corporate service sector companies (Sections I, IV); </w:t>
      </w:r>
      <w:r>
        <w:rPr>
          <w:rFonts w:ascii="Consolas" w:cs="Consolas" w:eastAsia="Consolas" w:hAnsi="Consolas"/>
          <w:sz w:val="21"/>
          <w:szCs w:val="21"/>
        </w:rPr>
        <w:t xml:space="preserve">basics-of-ratings</w:t>
      </w:r>
      <w:r>
        <w:rPr>
          <w:sz w:val="21"/>
          <w:szCs w:val="21"/>
        </w:rPr>
        <w:t xml:space="preserve">; </w:t>
      </w:r>
      <w:r>
        <w:rPr>
          <w:rFonts w:ascii="Consolas" w:cs="Consolas" w:eastAsia="Consolas" w:hAnsi="Consolas"/>
          <w:sz w:val="21"/>
          <w:szCs w:val="21"/>
        </w:rPr>
        <w:t xml:space="preserve">criteria-for-consolidation</w:t>
      </w:r>
      <w:r>
        <w:rPr>
          <w:sz w:val="21"/>
          <w:szCs w:val="21"/>
        </w:rPr>
        <w:t xml:space="preserve">.</w:t>
      </w:r>
    </w:p>
    <w:p>
      <w:pPr>
        <w:pBdr>
          <w:bottom w:val="single" w:color="C7D0DE" w:sz="6" w:space="4"/>
        </w:pBdr>
        <w:spacing w:after="200"/>
      </w:pPr>
    </w:p>
    <w:p>
      <w:pPr>
        <w:spacing w:after="160"/>
      </w:pPr>
      <w:r>
        <w:rPr>
          <w:i/>
          <w:iCs/>
          <w:color w:val="555555"/>
          <w:sz w:val="20"/>
          <w:szCs w:val="20"/>
        </w:rPr>
        <w:t xml:space="preserve">Disclaimer: This document has been prepared as an analytical exercise using Apollo Tyres Limited's published documents and CRISIL Ratings' publicly stated methodology framework. It is NOT an official CRISIL publication and does not represent an actual rating assigned by CRISIL Ratings Limited. Rated amounts are marked "to be confirmed by issuer" throughout — no sanction letters, term sheets, or CRISIL-published rated-amount table for this issuer were available to this exercise. Data cut-off: 14 May 2026 (audited, standalone and consolidated); Q1 FY2026-27 unaudited results (30 June 2026) reviewed, via the segment table only given a source-conversion quality issue in the full P&amp;L table, for material events between the data cutoff and this report's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2026-08-30T18:21:42.535Z</dcterms:created>
  <dcterms:modified xsi:type="dcterms:W3CDTF">2026-08-30T18:21:42.536Z</dcterms:modified>
</cp:coreProperties>
</file>

<file path=docProps/custom.xml><?xml version="1.0" encoding="utf-8"?>
<Properties xmlns="http://schemas.openxmlformats.org/officeDocument/2006/custom-properties" xmlns:vt="http://schemas.openxmlformats.org/officeDocument/2006/docPropsVTypes"/>
</file>